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9 — IPMA-D: wat PRINCE2 niet dekt</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Een methode versus een competentiebaseline</w:t>
      </w:r>
    </w:p>
    <w:p>
      <w:pPr>
        <w:spacing w:after="140" w:line="300"/>
      </w:pPr>
      <w:r>
        <w:rPr>
          <w:rFonts w:ascii="Calibri" w:cs="Calibri" w:eastAsia="Calibri" w:hAnsi="Calibri"/>
          <w:sz w:val="22"/>
          <w:szCs w:val="22"/>
        </w:rPr>
        <w:t xml:space="preserve">Deel 1 (§5) introduceerde het verschil: PRINCE2 is een </w:t>
      </w:r>
      <w:r>
        <w:rPr>
          <w:rFonts w:ascii="Calibri" w:cs="Calibri" w:eastAsia="Calibri" w:hAnsi="Calibri"/>
          <w:b/>
          <w:bCs/>
          <w:sz w:val="22"/>
          <w:szCs w:val="22"/>
        </w:rPr>
        <w:t xml:space="preserve">methode</w:t>
      </w:r>
      <w:r>
        <w:rPr>
          <w:rFonts w:ascii="Calibri" w:cs="Calibri" w:eastAsia="Calibri" w:hAnsi="Calibri"/>
          <w:sz w:val="22"/>
          <w:szCs w:val="22"/>
        </w:rPr>
        <w:t xml:space="preserve"> — een voorgeschreven manier van werken, getoetst op kennis en toepassing. IPMA/ICB4 is een </w:t>
      </w:r>
      <w:r>
        <w:rPr>
          <w:rFonts w:ascii="Calibri" w:cs="Calibri" w:eastAsia="Calibri" w:hAnsi="Calibri"/>
          <w:b/>
          <w:bCs/>
          <w:sz w:val="22"/>
          <w:szCs w:val="22"/>
        </w:rPr>
        <w:t xml:space="preserve">competentiebaseline</w:t>
      </w:r>
      <w:r>
        <w:rPr>
          <w:rFonts w:ascii="Calibri" w:cs="Calibri" w:eastAsia="Calibri" w:hAnsi="Calibri"/>
          <w:sz w:val="22"/>
          <w:szCs w:val="22"/>
        </w:rPr>
        <w:t xml:space="preserve"> — een inventarisatie van wat een projectprofessional persoonlijk moet kunnen, ongeacht welke methode die persoon gebruikt. ICB4 groepeert 29 competenties in drie gebieden, het zogeheten "eye of competence":</w:t>
      </w:r>
    </w:p>
    <w:p>
      <w:pPr>
        <w:pStyle w:val="ListParagraph"/>
        <w:numPr>
          <w:ilvl w:val="0"/>
          <w:numId w:val="1"/>
        </w:numPr>
        <w:spacing w:after="100" w:line="280"/>
      </w:pPr>
      <w:r>
        <w:rPr>
          <w:rFonts w:ascii="Calibri" w:cs="Calibri" w:eastAsia="Calibri" w:hAnsi="Calibri"/>
          <w:b/>
          <w:bCs/>
          <w:sz w:val="22"/>
          <w:szCs w:val="22"/>
        </w:rPr>
        <w:t xml:space="preserve">Perspective</w:t>
      </w:r>
      <w:r>
        <w:rPr>
          <w:rFonts w:ascii="Calibri" w:cs="Calibri" w:eastAsia="Calibri" w:hAnsi="Calibri"/>
          <w:sz w:val="22"/>
          <w:szCs w:val="22"/>
        </w:rPr>
        <w:t xml:space="preserve"> (5 competenties) — de context waarin het project opereert: strategie, governance/structuren/processen, compliance/standaarden/regelgeving, macht en belangen, cultuur en waarden.</w:t>
      </w:r>
    </w:p>
    <w:p>
      <w:pPr>
        <w:pStyle w:val="ListParagraph"/>
        <w:numPr>
          <w:ilvl w:val="0"/>
          <w:numId w:val="1"/>
        </w:numPr>
        <w:spacing w:after="100" w:line="280"/>
      </w:pPr>
      <w:r>
        <w:rPr>
          <w:rFonts w:ascii="Calibri" w:cs="Calibri" w:eastAsia="Calibri" w:hAnsi="Calibri"/>
          <w:b/>
          <w:bCs/>
          <w:sz w:val="22"/>
          <w:szCs w:val="22"/>
        </w:rPr>
        <w:t xml:space="preserve">People</w:t>
      </w:r>
      <w:r>
        <w:rPr>
          <w:rFonts w:ascii="Calibri" w:cs="Calibri" w:eastAsia="Calibri" w:hAnsi="Calibri"/>
          <w:sz w:val="22"/>
          <w:szCs w:val="22"/>
        </w:rPr>
        <w:t xml:space="preserve"> (10 competenties) — hoe je met jezelf en anderen omgaat: zelfreflectie en zelfmanagement, persoonlijke integriteit, communicatie, relaties en betrokkenheid, leiderschap, teamwork, conflict en crisis, veerkracht, onderhandelen, resultaatgerichtheid.</w:t>
      </w:r>
    </w:p>
    <w:p>
      <w:pPr>
        <w:pStyle w:val="ListParagraph"/>
        <w:numPr>
          <w:ilvl w:val="0"/>
          <w:numId w:val="1"/>
        </w:numPr>
        <w:spacing w:after="100" w:line="280"/>
      </w:pPr>
      <w:r>
        <w:rPr>
          <w:rFonts w:ascii="Calibri" w:cs="Calibri" w:eastAsia="Calibri" w:hAnsi="Calibri"/>
          <w:b/>
          <w:bCs/>
          <w:sz w:val="22"/>
          <w:szCs w:val="22"/>
        </w:rPr>
        <w:t xml:space="preserve">Practice</w:t>
      </w:r>
      <w:r>
        <w:rPr>
          <w:rFonts w:ascii="Calibri" w:cs="Calibri" w:eastAsia="Calibri" w:hAnsi="Calibri"/>
          <w:sz w:val="22"/>
          <w:szCs w:val="22"/>
        </w:rPr>
        <w:t xml:space="preserve"> (13 competenties) — het vaktechnische handwerk: projectontwerp, eisen en doelstellingen, scope, tijd, organisatie en informatie, kwaliteit, financiën, resources, inkoop, planning en beheersing, risico en kansen, stakeholders, verandering en transformatie.</w:t>
      </w:r>
    </w:p>
    <w:p>
      <w:pPr>
        <w:spacing w:after="140" w:line="300"/>
      </w:pPr>
      <w:r>
        <w:rPr>
          <w:rFonts w:ascii="Calibri" w:cs="Calibri" w:eastAsia="Calibri" w:hAnsi="Calibri"/>
          <w:sz w:val="22"/>
          <w:szCs w:val="22"/>
        </w:rPr>
        <w:t xml:space="preserve">IPMA-D is het instapniveau: kennisgericht, getoetst via een gecombineerd examen van meerkeuzevragen (kennis) en open, vaak rekenkundige vragen (toepassing) — in de praktijk doorgaans elk 50% van het cijfer.</w:t>
      </w:r>
    </w:p>
    <w:p>
      <w:pPr>
        <w:spacing w:after="140" w:line="300"/>
      </w:pPr>
      <w:r>
        <w:rPr>
          <w:rFonts w:ascii="Calibri" w:cs="Calibri" w:eastAsia="Calibri" w:hAnsi="Calibri"/>
          <w:sz w:val="22"/>
          <w:szCs w:val="22"/>
        </w:rPr>
        <w:t xml:space="preserve">PRINCE2 dekt een flink deel van de Practice-competenties al impliciet (business case, plannen, kwaliteit, risico — deel 3 t/m 6). Dit deel richt zich op wat PRINCE2 bewust </w:t>
      </w:r>
      <w:r>
        <w:rPr>
          <w:rFonts w:ascii="Calibri" w:cs="Calibri" w:eastAsia="Calibri" w:hAnsi="Calibri"/>
          <w:b/>
          <w:bCs/>
          <w:sz w:val="22"/>
          <w:szCs w:val="22"/>
        </w:rPr>
        <w:t xml:space="preserve">niet</w:t>
      </w:r>
      <w:r>
        <w:rPr>
          <w:rFonts w:ascii="Calibri" w:cs="Calibri" w:eastAsia="Calibri" w:hAnsi="Calibri"/>
          <w:sz w:val="22"/>
          <w:szCs w:val="22"/>
        </w:rPr>
        <w:t xml:space="preserve"> voorschrijft en waar IPMA-D dat wél concreet invult: gedrag en leiderschap, een expliciete stakeholderanalysetechniek, netwerkplanning, en Earned Value Analysis.</w:t>
      </w:r>
    </w:p>
    <w:p>
      <w:pPr>
        <w:pStyle w:val="Heading2"/>
        <w:spacing w:after="120" w:before="200"/>
      </w:pPr>
      <w:r>
        <w:rPr>
          <w:rFonts w:ascii="Georgia" w:cs="Georgia" w:eastAsia="Georgia" w:hAnsi="Georgia"/>
          <w:b/>
          <w:bCs/>
          <w:color w:val="2563A8"/>
          <w:sz w:val="28"/>
          <w:szCs w:val="28"/>
        </w:rPr>
        <w:t xml:space="preserve">2. Gedrag en leiderschap</w:t>
      </w:r>
    </w:p>
    <w:p>
      <w:pPr>
        <w:spacing w:after="140" w:line="300"/>
      </w:pPr>
      <w:r>
        <w:rPr>
          <w:rFonts w:ascii="Calibri" w:cs="Calibri" w:eastAsia="Calibri" w:hAnsi="Calibri"/>
          <w:sz w:val="22"/>
          <w:szCs w:val="22"/>
        </w:rPr>
        <w:t xml:space="preserve">PRINCE2 7 introduceerde het People-element (deel 2, §3) als erkenning dat rollen en processen alleen niet genoeg zijn. Maar PRINCE2 geeft geen concrete modellen — dat is precies waar IPMA-D's People-competenties invullen wat PRINCE2 open laat.</w:t>
      </w:r>
    </w:p>
    <w:p>
      <w:pPr>
        <w:spacing w:after="140" w:line="300"/>
      </w:pPr>
      <w:r>
        <w:rPr>
          <w:rFonts w:ascii="Calibri" w:cs="Calibri" w:eastAsia="Calibri" w:hAnsi="Calibri"/>
          <w:b/>
          <w:bCs/>
          <w:sz w:val="22"/>
          <w:szCs w:val="22"/>
        </w:rPr>
        <w:t xml:space="preserve">Groepsdynamica: het Tuckman-model.</w:t>
      </w:r>
      <w:r>
        <w:rPr>
          <w:rFonts w:ascii="Calibri" w:cs="Calibri" w:eastAsia="Calibri" w:hAnsi="Calibri"/>
          <w:sz w:val="22"/>
          <w:szCs w:val="22"/>
        </w:rPr>
        <w:t xml:space="preserve"> Teams doorlopen doorgaans vier (soms vijf) fasen: </w:t>
      </w:r>
      <w:r>
        <w:rPr>
          <w:rFonts w:ascii="Calibri" w:cs="Calibri" w:eastAsia="Calibri" w:hAnsi="Calibri"/>
          <w:b/>
          <w:bCs/>
          <w:sz w:val="22"/>
          <w:szCs w:val="22"/>
        </w:rPr>
        <w:t xml:space="preserve">forming</w:t>
      </w:r>
      <w:r>
        <w:rPr>
          <w:rFonts w:ascii="Calibri" w:cs="Calibri" w:eastAsia="Calibri" w:hAnsi="Calibri"/>
          <w:sz w:val="22"/>
          <w:szCs w:val="22"/>
        </w:rPr>
        <w:t xml:space="preserve"> (kennismaking, voorzichtigheid), </w:t>
      </w:r>
      <w:r>
        <w:rPr>
          <w:rFonts w:ascii="Calibri" w:cs="Calibri" w:eastAsia="Calibri" w:hAnsi="Calibri"/>
          <w:b/>
          <w:bCs/>
          <w:sz w:val="22"/>
          <w:szCs w:val="22"/>
        </w:rPr>
        <w:t xml:space="preserve">storming</w:t>
      </w:r>
      <w:r>
        <w:rPr>
          <w:rFonts w:ascii="Calibri" w:cs="Calibri" w:eastAsia="Calibri" w:hAnsi="Calibri"/>
          <w:sz w:val="22"/>
          <w:szCs w:val="22"/>
        </w:rPr>
        <w:t xml:space="preserve"> (spanningen, onenigheid over rollen en aanpak — een normale, noodzakelijke fase, geen mislukking), </w:t>
      </w:r>
      <w:r>
        <w:rPr>
          <w:rFonts w:ascii="Calibri" w:cs="Calibri" w:eastAsia="Calibri" w:hAnsi="Calibri"/>
          <w:b/>
          <w:bCs/>
          <w:sz w:val="22"/>
          <w:szCs w:val="22"/>
        </w:rPr>
        <w:t xml:space="preserve">norming</w:t>
      </w:r>
      <w:r>
        <w:rPr>
          <w:rFonts w:ascii="Calibri" w:cs="Calibri" w:eastAsia="Calibri" w:hAnsi="Calibri"/>
          <w:sz w:val="22"/>
          <w:szCs w:val="22"/>
        </w:rPr>
        <w:t xml:space="preserve"> (afspraken en werkwijzen zetten zich vast), </w:t>
      </w:r>
      <w:r>
        <w:rPr>
          <w:rFonts w:ascii="Calibri" w:cs="Calibri" w:eastAsia="Calibri" w:hAnsi="Calibri"/>
          <w:b/>
          <w:bCs/>
          <w:sz w:val="22"/>
          <w:szCs w:val="22"/>
        </w:rPr>
        <w:t xml:space="preserve">performing</w:t>
      </w:r>
      <w:r>
        <w:rPr>
          <w:rFonts w:ascii="Calibri" w:cs="Calibri" w:eastAsia="Calibri" w:hAnsi="Calibri"/>
          <w:sz w:val="22"/>
          <w:szCs w:val="22"/>
        </w:rPr>
        <w:t xml:space="preserve"> (het team werkt effectief samen), en optioneel </w:t>
      </w:r>
      <w:r>
        <w:rPr>
          <w:rFonts w:ascii="Calibri" w:cs="Calibri" w:eastAsia="Calibri" w:hAnsi="Calibri"/>
          <w:b/>
          <w:bCs/>
          <w:sz w:val="22"/>
          <w:szCs w:val="22"/>
        </w:rPr>
        <w:t xml:space="preserve">adjourning</w:t>
      </w:r>
      <w:r>
        <w:rPr>
          <w:rFonts w:ascii="Calibri" w:cs="Calibri" w:eastAsia="Calibri" w:hAnsi="Calibri"/>
          <w:sz w:val="22"/>
          <w:szCs w:val="22"/>
        </w:rPr>
        <w:t xml:space="preserve"> (het team wordt ontbonden bij afronding). Een projectmanager die weet in welke fase een team zit, kiest een andere interventie: in storming is bemiddelen gepaster dan straffen, in performing is loslaten effectiever dan controleren.</w:t>
      </w:r>
    </w:p>
    <w:p>
      <w:pPr>
        <w:spacing w:after="140" w:line="300"/>
      </w:pPr>
      <w:r>
        <w:rPr>
          <w:rFonts w:ascii="Calibri" w:cs="Calibri" w:eastAsia="Calibri" w:hAnsi="Calibri"/>
          <w:b/>
          <w:bCs/>
          <w:sz w:val="22"/>
          <w:szCs w:val="22"/>
        </w:rPr>
        <w:t xml:space="preserve">Situationeel leiderschap.</w:t>
      </w:r>
      <w:r>
        <w:rPr>
          <w:rFonts w:ascii="Calibri" w:cs="Calibri" w:eastAsia="Calibri" w:hAnsi="Calibri"/>
          <w:sz w:val="22"/>
          <w:szCs w:val="22"/>
        </w:rPr>
        <w:t xml:space="preserve"> Een leiderschapsstijl wordt afgestemd op de bekwaamheid en betrokkenheid van een teamlid bij een specifieke taak — niet op een vaste persoonlijke stijl van de leidinggevende. Vier stijlen, oplopend in gedelegeerde autonomie: </w:t>
      </w:r>
      <w:r>
        <w:rPr>
          <w:rFonts w:ascii="Calibri" w:cs="Calibri" w:eastAsia="Calibri" w:hAnsi="Calibri"/>
          <w:b/>
          <w:bCs/>
          <w:sz w:val="22"/>
          <w:szCs w:val="22"/>
        </w:rPr>
        <w:t xml:space="preserve">sturen</w:t>
      </w:r>
      <w:r>
        <w:rPr>
          <w:rFonts w:ascii="Calibri" w:cs="Calibri" w:eastAsia="Calibri" w:hAnsi="Calibri"/>
          <w:sz w:val="22"/>
          <w:szCs w:val="22"/>
        </w:rPr>
        <w:t xml:space="preserve"> (weinig ervaring, veel sturing nodig), </w:t>
      </w:r>
      <w:r>
        <w:rPr>
          <w:rFonts w:ascii="Calibri" w:cs="Calibri" w:eastAsia="Calibri" w:hAnsi="Calibri"/>
          <w:b/>
          <w:bCs/>
          <w:sz w:val="22"/>
          <w:szCs w:val="22"/>
        </w:rPr>
        <w:t xml:space="preserve">coachen</w:t>
      </w:r>
      <w:r>
        <w:rPr>
          <w:rFonts w:ascii="Calibri" w:cs="Calibri" w:eastAsia="Calibri" w:hAnsi="Calibri"/>
          <w:sz w:val="22"/>
          <w:szCs w:val="22"/>
        </w:rPr>
        <w:t xml:space="preserve"> (groeiende bekwaamheid, nog steeds sturing én motivatie nodig), </w:t>
      </w:r>
      <w:r>
        <w:rPr>
          <w:rFonts w:ascii="Calibri" w:cs="Calibri" w:eastAsia="Calibri" w:hAnsi="Calibri"/>
          <w:b/>
          <w:bCs/>
          <w:sz w:val="22"/>
          <w:szCs w:val="22"/>
        </w:rPr>
        <w:t xml:space="preserve">steunen</w:t>
      </w:r>
      <w:r>
        <w:rPr>
          <w:rFonts w:ascii="Calibri" w:cs="Calibri" w:eastAsia="Calibri" w:hAnsi="Calibri"/>
          <w:sz w:val="22"/>
          <w:szCs w:val="22"/>
        </w:rPr>
        <w:t xml:space="preserve"> (bekwaam maar onzeker, vooral motivatie nodig), </w:t>
      </w:r>
      <w:r>
        <w:rPr>
          <w:rFonts w:ascii="Calibri" w:cs="Calibri" w:eastAsia="Calibri" w:hAnsi="Calibri"/>
          <w:b/>
          <w:bCs/>
          <w:sz w:val="22"/>
          <w:szCs w:val="22"/>
        </w:rPr>
        <w:t xml:space="preserve">delegeren</w:t>
      </w:r>
      <w:r>
        <w:rPr>
          <w:rFonts w:ascii="Calibri" w:cs="Calibri" w:eastAsia="Calibri" w:hAnsi="Calibri"/>
          <w:sz w:val="22"/>
          <w:szCs w:val="22"/>
        </w:rPr>
        <w:t xml:space="preserve"> (bekwaam en zelfverzekerd, autonomie geven). Dezelfde projectmanager kan dus, afhankelijk van wie en welke taak, verschillende stijlen tegelijk hanteren.</w:t>
      </w:r>
    </w:p>
    <w:p>
      <w:pPr>
        <w:spacing w:after="140" w:line="300"/>
      </w:pPr>
      <w:r>
        <w:rPr>
          <w:rFonts w:ascii="Calibri" w:cs="Calibri" w:eastAsia="Calibri" w:hAnsi="Calibri"/>
          <w:b/>
          <w:bCs/>
          <w:sz w:val="22"/>
          <w:szCs w:val="22"/>
        </w:rPr>
        <w:t xml:space="preserve">Onderhandelen en conflict.</w:t>
      </w:r>
      <w:r>
        <w:rPr>
          <w:rFonts w:ascii="Calibri" w:cs="Calibri" w:eastAsia="Calibri" w:hAnsi="Calibri"/>
          <w:sz w:val="22"/>
          <w:szCs w:val="22"/>
        </w:rPr>
        <w:t xml:space="preserve"> IPMA-D vraagt basiskennis van conflictstijlen (bijvoorbeeld: forceren, vermijden, aanpassen, compromis zoeken, samenwerken) en het onderscheid tussen positie (wat iemand zegt te willen) en belang (waarom iemand dat wil) als basis voor effectief onderhandelen.</w:t>
      </w:r>
    </w:p>
    <w:p>
      <w:pPr>
        <w:pStyle w:val="Heading2"/>
        <w:spacing w:after="120" w:before="200"/>
      </w:pPr>
      <w:r>
        <w:rPr>
          <w:rFonts w:ascii="Georgia" w:cs="Georgia" w:eastAsia="Georgia" w:hAnsi="Georgia"/>
          <w:b/>
          <w:bCs/>
          <w:color w:val="2563A8"/>
          <w:sz w:val="28"/>
          <w:szCs w:val="28"/>
        </w:rPr>
        <w:t xml:space="preserve">3. Stakeholderanalyse als expliciete techniek</w:t>
      </w:r>
    </w:p>
    <w:p>
      <w:pPr>
        <w:spacing w:after="140" w:line="300"/>
      </w:pPr>
      <w:r>
        <w:rPr>
          <w:rFonts w:ascii="Calibri" w:cs="Calibri" w:eastAsia="Calibri" w:hAnsi="Calibri"/>
          <w:sz w:val="22"/>
          <w:szCs w:val="22"/>
        </w:rPr>
        <w:t xml:space="preserve">Organizing (deel 3) benoemt drie belangen — business, gebruiker, leverancier — maar dat is een governancestructuur, geen brede analyse van álle betrokkenen. IPMA-D vult dit aan met de </w:t>
      </w:r>
      <w:r>
        <w:rPr>
          <w:rFonts w:ascii="Calibri" w:cs="Calibri" w:eastAsia="Calibri" w:hAnsi="Calibri"/>
          <w:b/>
          <w:bCs/>
          <w:sz w:val="22"/>
          <w:szCs w:val="22"/>
        </w:rPr>
        <w:t xml:space="preserve">macht/belang-matrix</w:t>
      </w:r>
      <w:r>
        <w:rPr>
          <w:rFonts w:ascii="Calibri" w:cs="Calibri" w:eastAsia="Calibri" w:hAnsi="Calibri"/>
          <w:sz w:val="22"/>
          <w:szCs w:val="22"/>
        </w:rPr>
        <w:t xml:space="preserve">: elke stakeholder wordt uitgezet op twee assen (mate van macht/invloed, mate van belang bij de uitkomst), wat vier kwadranten oplevert met elk een andere aanpak:</w:t>
      </w:r>
    </w:p>
    <w:p>
      <w:pPr>
        <w:pStyle w:val="ListParagraph"/>
        <w:numPr>
          <w:ilvl w:val="0"/>
          <w:numId w:val="1"/>
        </w:numPr>
        <w:spacing w:after="100" w:line="280"/>
      </w:pPr>
      <w:r>
        <w:rPr>
          <w:rFonts w:ascii="Calibri" w:cs="Calibri" w:eastAsia="Calibri" w:hAnsi="Calibri"/>
          <w:b/>
          <w:bCs/>
          <w:sz w:val="22"/>
          <w:szCs w:val="22"/>
        </w:rPr>
        <w:t xml:space="preserve">Hoge macht, hoog belang</w:t>
      </w:r>
      <w:r>
        <w:rPr>
          <w:rFonts w:ascii="Calibri" w:cs="Calibri" w:eastAsia="Calibri" w:hAnsi="Calibri"/>
          <w:sz w:val="22"/>
          <w:szCs w:val="22"/>
        </w:rPr>
        <w:t xml:space="preserve"> — nauw betrekken, actief managen.</w:t>
      </w:r>
    </w:p>
    <w:p>
      <w:pPr>
        <w:pStyle w:val="ListParagraph"/>
        <w:numPr>
          <w:ilvl w:val="0"/>
          <w:numId w:val="1"/>
        </w:numPr>
        <w:spacing w:after="100" w:line="280"/>
      </w:pPr>
      <w:r>
        <w:rPr>
          <w:rFonts w:ascii="Calibri" w:cs="Calibri" w:eastAsia="Calibri" w:hAnsi="Calibri"/>
          <w:b/>
          <w:bCs/>
          <w:sz w:val="22"/>
          <w:szCs w:val="22"/>
        </w:rPr>
        <w:t xml:space="preserve">Hoge macht, laag belang</w:t>
      </w:r>
      <w:r>
        <w:rPr>
          <w:rFonts w:ascii="Calibri" w:cs="Calibri" w:eastAsia="Calibri" w:hAnsi="Calibri"/>
          <w:sz w:val="22"/>
          <w:szCs w:val="22"/>
        </w:rPr>
        <w:t xml:space="preserve"> — tevreden houden, niet overvragen.</w:t>
      </w:r>
    </w:p>
    <w:p>
      <w:pPr>
        <w:pStyle w:val="ListParagraph"/>
        <w:numPr>
          <w:ilvl w:val="0"/>
          <w:numId w:val="1"/>
        </w:numPr>
        <w:spacing w:after="100" w:line="280"/>
      </w:pPr>
      <w:r>
        <w:rPr>
          <w:rFonts w:ascii="Calibri" w:cs="Calibri" w:eastAsia="Calibri" w:hAnsi="Calibri"/>
          <w:b/>
          <w:bCs/>
          <w:sz w:val="22"/>
          <w:szCs w:val="22"/>
        </w:rPr>
        <w:t xml:space="preserve">Lage macht, hoog belang</w:t>
      </w:r>
      <w:r>
        <w:rPr>
          <w:rFonts w:ascii="Calibri" w:cs="Calibri" w:eastAsia="Calibri" w:hAnsi="Calibri"/>
          <w:sz w:val="22"/>
          <w:szCs w:val="22"/>
        </w:rPr>
        <w:t xml:space="preserve"> — geïnformeerd houden, serieus nemen.</w:t>
      </w:r>
    </w:p>
    <w:p>
      <w:pPr>
        <w:pStyle w:val="ListParagraph"/>
        <w:numPr>
          <w:ilvl w:val="0"/>
          <w:numId w:val="1"/>
        </w:numPr>
        <w:spacing w:after="100" w:line="280"/>
      </w:pPr>
      <w:r>
        <w:rPr>
          <w:rFonts w:ascii="Calibri" w:cs="Calibri" w:eastAsia="Calibri" w:hAnsi="Calibri"/>
          <w:b/>
          <w:bCs/>
          <w:sz w:val="22"/>
          <w:szCs w:val="22"/>
        </w:rPr>
        <w:t xml:space="preserve">Lage macht, laag belang</w:t>
      </w:r>
      <w:r>
        <w:rPr>
          <w:rFonts w:ascii="Calibri" w:cs="Calibri" w:eastAsia="Calibri" w:hAnsi="Calibri"/>
          <w:sz w:val="22"/>
          <w:szCs w:val="22"/>
        </w:rPr>
        <w:t xml:space="preserve"> — met minimale inspanning monitoren.</w:t>
      </w:r>
    </w:p>
    <w:p>
      <w:pPr>
        <w:spacing w:after="140" w:line="300"/>
      </w:pPr>
      <w:r>
        <w:rPr>
          <w:rFonts w:ascii="Calibri" w:cs="Calibri" w:eastAsia="Calibri" w:hAnsi="Calibri"/>
          <w:sz w:val="22"/>
          <w:szCs w:val="22"/>
        </w:rPr>
        <w:t xml:space="preserve">Dit is een aanvulling op, niet een vervanging van, de Organizing-practice: de macht/belang-matrix helpt bij het inrichten van communicatie naar iedereen buiten de formele projectrollen — bijvoorbeeld werkgevers die het portaal gaan gebruiken, maar geen zitting hebben in de stuurgroep.</w:t>
      </w:r>
    </w:p>
    <w:p>
      <w:pPr>
        <w:pStyle w:val="Heading2"/>
        <w:spacing w:after="120" w:before="200"/>
      </w:pPr>
      <w:r>
        <w:rPr>
          <w:rFonts w:ascii="Georgia" w:cs="Georgia" w:eastAsia="Georgia" w:hAnsi="Georgia"/>
          <w:b/>
          <w:bCs/>
          <w:color w:val="2563A8"/>
          <w:sz w:val="28"/>
          <w:szCs w:val="28"/>
        </w:rPr>
        <w:t xml:space="preserve">4. Netwerkplanning en het kritieke pad</w:t>
      </w:r>
    </w:p>
    <w:p>
      <w:pPr>
        <w:spacing w:after="140" w:line="300"/>
      </w:pPr>
      <w:r>
        <w:rPr>
          <w:rFonts w:ascii="Calibri" w:cs="Calibri" w:eastAsia="Calibri" w:hAnsi="Calibri"/>
          <w:sz w:val="22"/>
          <w:szCs w:val="22"/>
        </w:rPr>
        <w:t xml:space="preserve">Deel 4 (§4) merkte op dat PRINCE2 bewust geen specifieke schattingstechniek voorschrijft. IPMA-D vult dat gat met </w:t>
      </w:r>
      <w:r>
        <w:rPr>
          <w:rFonts w:ascii="Calibri" w:cs="Calibri" w:eastAsia="Calibri" w:hAnsi="Calibri"/>
          <w:b/>
          <w:bCs/>
          <w:sz w:val="22"/>
          <w:szCs w:val="22"/>
        </w:rPr>
        <w:t xml:space="preserve">netwerkplanning</w:t>
      </w:r>
      <w:r>
        <w:rPr>
          <w:rFonts w:ascii="Calibri" w:cs="Calibri" w:eastAsia="Calibri" w:hAnsi="Calibri"/>
          <w:sz w:val="22"/>
          <w:szCs w:val="22"/>
        </w:rPr>
        <w:t xml:space="preserve">, een klassieke techniek om afhankelijkheden tussen activiteiten door te rekenen:</w:t>
      </w:r>
    </w:p>
    <w:p>
      <w:pPr>
        <w:pStyle w:val="ListParagraph"/>
        <w:numPr>
          <w:ilvl w:val="0"/>
          <w:numId w:val="1"/>
        </w:numPr>
        <w:spacing w:after="100" w:line="280"/>
      </w:pPr>
      <w:r>
        <w:rPr>
          <w:rFonts w:ascii="Calibri" w:cs="Calibri" w:eastAsia="Calibri" w:hAnsi="Calibri"/>
          <w:sz w:val="22"/>
          <w:szCs w:val="22"/>
        </w:rPr>
        <w:t xml:space="preserve">Elke activiteit krijgt een geschatte doorlooptijd en een of meer voorgangers (vergelijkbaar met, maar gedetailleerder dan, het Product Flow Diagram uit deel 4).</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voorwaartse doorrekening</w:t>
      </w:r>
      <w:r>
        <w:rPr>
          <w:rFonts w:ascii="Calibri" w:cs="Calibri" w:eastAsia="Calibri" w:hAnsi="Calibri"/>
          <w:sz w:val="22"/>
          <w:szCs w:val="22"/>
        </w:rPr>
        <w:t xml:space="preserve"> bepaalt de vroegst mogelijke start en het vroegst mogelijke einde van elke activiteit.</w:t>
      </w:r>
    </w:p>
    <w:p>
      <w:pPr>
        <w:pStyle w:val="ListParagraph"/>
        <w:numPr>
          <w:ilvl w:val="0"/>
          <w:numId w:val="1"/>
        </w:numPr>
        <w:spacing w:after="100" w:line="280"/>
      </w:pPr>
      <w:r>
        <w:rPr>
          <w:rFonts w:ascii="Calibri" w:cs="Calibri" w:eastAsia="Calibri" w:hAnsi="Calibri"/>
          <w:sz w:val="22"/>
          <w:szCs w:val="22"/>
        </w:rPr>
        <w:t xml:space="preserve">Een </w:t>
      </w:r>
      <w:r>
        <w:rPr>
          <w:rFonts w:ascii="Calibri" w:cs="Calibri" w:eastAsia="Calibri" w:hAnsi="Calibri"/>
          <w:b/>
          <w:bCs/>
          <w:sz w:val="22"/>
          <w:szCs w:val="22"/>
        </w:rPr>
        <w:t xml:space="preserve">achterwaartse doorrekening</w:t>
      </w:r>
      <w:r>
        <w:rPr>
          <w:rFonts w:ascii="Calibri" w:cs="Calibri" w:eastAsia="Calibri" w:hAnsi="Calibri"/>
          <w:sz w:val="22"/>
          <w:szCs w:val="22"/>
        </w:rPr>
        <w:t xml:space="preserve">, vanaf de gewenste einddatum, bepaalt de laatst toelaatbare start en het laatst toelaatbare einde.</w:t>
      </w:r>
    </w:p>
    <w:p>
      <w:pPr>
        <w:pStyle w:val="ListParagraph"/>
        <w:numPr>
          <w:ilvl w:val="0"/>
          <w:numId w:val="1"/>
        </w:numPr>
        <w:spacing w:after="100" w:line="280"/>
      </w:pPr>
      <w:r>
        <w:rPr>
          <w:rFonts w:ascii="Calibri" w:cs="Calibri" w:eastAsia="Calibri" w:hAnsi="Calibri"/>
          <w:sz w:val="22"/>
          <w:szCs w:val="22"/>
        </w:rPr>
        <w:t xml:space="preserve">Het verschil tussen deze twee is de </w:t>
      </w:r>
      <w:r>
        <w:rPr>
          <w:rFonts w:ascii="Calibri" w:cs="Calibri" w:eastAsia="Calibri" w:hAnsi="Calibri"/>
          <w:b/>
          <w:bCs/>
          <w:sz w:val="22"/>
          <w:szCs w:val="22"/>
        </w:rPr>
        <w:t xml:space="preserve">speling (float)</w:t>
      </w:r>
      <w:r>
        <w:rPr>
          <w:rFonts w:ascii="Calibri" w:cs="Calibri" w:eastAsia="Calibri" w:hAnsi="Calibri"/>
          <w:sz w:val="22"/>
          <w:szCs w:val="22"/>
        </w:rPr>
        <w:t xml:space="preserve"> van een activiteit: hoeveel die kan uitlopen zonder de einddatum van het project te raken.</w:t>
      </w:r>
    </w:p>
    <w:p>
      <w:pPr>
        <w:pStyle w:val="ListParagraph"/>
        <w:numPr>
          <w:ilvl w:val="0"/>
          <w:numId w:val="1"/>
        </w:numPr>
        <w:spacing w:after="100" w:line="280"/>
      </w:pPr>
      <w:r>
        <w:rPr>
          <w:rFonts w:ascii="Calibri" w:cs="Calibri" w:eastAsia="Calibri" w:hAnsi="Calibri"/>
          <w:sz w:val="22"/>
          <w:szCs w:val="22"/>
        </w:rPr>
        <w:t xml:space="preserve">Het </w:t>
      </w:r>
      <w:r>
        <w:rPr>
          <w:rFonts w:ascii="Calibri" w:cs="Calibri" w:eastAsia="Calibri" w:hAnsi="Calibri"/>
          <w:b/>
          <w:bCs/>
          <w:sz w:val="22"/>
          <w:szCs w:val="22"/>
        </w:rPr>
        <w:t xml:space="preserve">kritieke pad</w:t>
      </w:r>
      <w:r>
        <w:rPr>
          <w:rFonts w:ascii="Calibri" w:cs="Calibri" w:eastAsia="Calibri" w:hAnsi="Calibri"/>
          <w:sz w:val="22"/>
          <w:szCs w:val="22"/>
        </w:rPr>
        <w:t xml:space="preserve"> is de reeks activiteiten met nul speling — de langste keten door het netwerk, die letterlijk bepaalt wanneer het project eindigt. Vertraging op het kritieke pad is altijd vertraging van het hele project; vertraging op een activiteit mét speling hoeft dat niet te zijn.</w:t>
      </w:r>
    </w:p>
    <w:p>
      <w:pPr>
        <w:spacing w:after="140" w:line="300"/>
      </w:pPr>
      <w:r>
        <w:rPr>
          <w:rFonts w:ascii="Calibri" w:cs="Calibri" w:eastAsia="Calibri" w:hAnsi="Calibri"/>
          <w:sz w:val="22"/>
          <w:szCs w:val="22"/>
        </w:rPr>
        <w:t xml:space="preserve">Dit sluit rechtstreeks aan op het Product Flow Diagram (deel 4): waar het PFD de volgorde en afhankelijkheden van producten toont, voegt netwerkplanning er tijd en speling aan toe.</w:t>
      </w:r>
    </w:p>
    <w:p>
      <w:pPr>
        <w:pStyle w:val="Heading2"/>
        <w:spacing w:after="120" w:before="200"/>
      </w:pPr>
      <w:r>
        <w:rPr>
          <w:rFonts w:ascii="Georgia" w:cs="Georgia" w:eastAsia="Georgia" w:hAnsi="Georgia"/>
          <w:b/>
          <w:bCs/>
          <w:color w:val="2563A8"/>
          <w:sz w:val="28"/>
          <w:szCs w:val="28"/>
        </w:rPr>
        <w:t xml:space="preserve">5. Earned Value Analysis (EVA)</w:t>
      </w:r>
    </w:p>
    <w:p>
      <w:pPr>
        <w:spacing w:after="140" w:line="300"/>
      </w:pPr>
      <w:r>
        <w:rPr>
          <w:rFonts w:ascii="Calibri" w:cs="Calibri" w:eastAsia="Calibri" w:hAnsi="Calibri"/>
          <w:sz w:val="22"/>
          <w:szCs w:val="22"/>
        </w:rPr>
        <w:t xml:space="preserve">Progress (deel 6) beschrijft tolerantie en rapportage, maar geeft geen specifieke rekenmethode om voortgang in geld én tijd tegelijk uit te drukken. Earned Value Analysis doet precies dat, met drie kerngetallen:</w:t>
      </w:r>
    </w:p>
    <w:p>
      <w:pPr>
        <w:pStyle w:val="ListParagraph"/>
        <w:numPr>
          <w:ilvl w:val="0"/>
          <w:numId w:val="1"/>
        </w:numPr>
        <w:spacing w:after="100" w:line="280"/>
      </w:pPr>
      <w:r>
        <w:rPr>
          <w:rFonts w:ascii="Calibri" w:cs="Calibri" w:eastAsia="Calibri" w:hAnsi="Calibri"/>
          <w:b/>
          <w:bCs/>
          <w:sz w:val="22"/>
          <w:szCs w:val="22"/>
        </w:rPr>
        <w:t xml:space="preserve">Planned Value (PV)</w:t>
      </w:r>
      <w:r>
        <w:rPr>
          <w:rFonts w:ascii="Calibri" w:cs="Calibri" w:eastAsia="Calibri" w:hAnsi="Calibri"/>
          <w:sz w:val="22"/>
          <w:szCs w:val="22"/>
        </w:rPr>
        <w:t xml:space="preserve"> — de begrote waarde van het werk dat volgens planning op dit moment klaar zou moeten zijn.</w:t>
      </w:r>
    </w:p>
    <w:p>
      <w:pPr>
        <w:pStyle w:val="ListParagraph"/>
        <w:numPr>
          <w:ilvl w:val="0"/>
          <w:numId w:val="1"/>
        </w:numPr>
        <w:spacing w:after="100" w:line="280"/>
      </w:pPr>
      <w:r>
        <w:rPr>
          <w:rFonts w:ascii="Calibri" w:cs="Calibri" w:eastAsia="Calibri" w:hAnsi="Calibri"/>
          <w:b/>
          <w:bCs/>
          <w:sz w:val="22"/>
          <w:szCs w:val="22"/>
        </w:rPr>
        <w:t xml:space="preserve">Earned Value (EV)</w:t>
      </w:r>
      <w:r>
        <w:rPr>
          <w:rFonts w:ascii="Calibri" w:cs="Calibri" w:eastAsia="Calibri" w:hAnsi="Calibri"/>
          <w:sz w:val="22"/>
          <w:szCs w:val="22"/>
        </w:rPr>
        <w:t xml:space="preserve"> — de begrote waarde van het werk dat daadwerkelijk is voltooid.</w:t>
      </w:r>
    </w:p>
    <w:p>
      <w:pPr>
        <w:pStyle w:val="ListParagraph"/>
        <w:numPr>
          <w:ilvl w:val="0"/>
          <w:numId w:val="1"/>
        </w:numPr>
        <w:spacing w:after="100" w:line="280"/>
      </w:pPr>
      <w:r>
        <w:rPr>
          <w:rFonts w:ascii="Calibri" w:cs="Calibri" w:eastAsia="Calibri" w:hAnsi="Calibri"/>
          <w:b/>
          <w:bCs/>
          <w:sz w:val="22"/>
          <w:szCs w:val="22"/>
        </w:rPr>
        <w:t xml:space="preserve">Actual Cost (AC)</w:t>
      </w:r>
      <w:r>
        <w:rPr>
          <w:rFonts w:ascii="Calibri" w:cs="Calibri" w:eastAsia="Calibri" w:hAnsi="Calibri"/>
          <w:sz w:val="22"/>
          <w:szCs w:val="22"/>
        </w:rPr>
        <w:t xml:space="preserve"> — wat dat werk werkelijk heeft gekost.</w:t>
      </w:r>
    </w:p>
    <w:p>
      <w:pPr>
        <w:spacing w:after="140" w:line="300"/>
      </w:pPr>
      <w:r>
        <w:rPr>
          <w:rFonts w:ascii="Calibri" w:cs="Calibri" w:eastAsia="Calibri" w:hAnsi="Calibri"/>
          <w:sz w:val="22"/>
          <w:szCs w:val="22"/>
        </w:rPr>
        <w:t xml:space="preserve">Daaruit volgen twee afwijkingsmaten en twee prestatie-indices:</w:t>
      </w:r>
    </w:p>
    <w:p>
      <w:pPr>
        <w:pStyle w:val="ListParagraph"/>
        <w:numPr>
          <w:ilvl w:val="0"/>
          <w:numId w:val="1"/>
        </w:numPr>
        <w:spacing w:after="100" w:line="280"/>
      </w:pPr>
      <w:r>
        <w:rPr>
          <w:rFonts w:ascii="Calibri" w:cs="Calibri" w:eastAsia="Calibri" w:hAnsi="Calibri"/>
          <w:b/>
          <w:bCs/>
          <w:sz w:val="22"/>
          <w:szCs w:val="22"/>
        </w:rPr>
        <w:t xml:space="preserve">Schedule Variance (SV) = EV − PV</w:t>
      </w:r>
      <w:r>
        <w:rPr>
          <w:rFonts w:ascii="Calibri" w:cs="Calibri" w:eastAsia="Calibri" w:hAnsi="Calibri"/>
          <w:sz w:val="22"/>
          <w:szCs w:val="22"/>
        </w:rPr>
        <w:t xml:space="preserve"> — positief betekent vóór op schema, negatief betekent achter.</w:t>
      </w:r>
    </w:p>
    <w:p>
      <w:pPr>
        <w:pStyle w:val="ListParagraph"/>
        <w:numPr>
          <w:ilvl w:val="0"/>
          <w:numId w:val="1"/>
        </w:numPr>
        <w:spacing w:after="100" w:line="280"/>
      </w:pPr>
      <w:r>
        <w:rPr>
          <w:rFonts w:ascii="Calibri" w:cs="Calibri" w:eastAsia="Calibri" w:hAnsi="Calibri"/>
          <w:b/>
          <w:bCs/>
          <w:sz w:val="22"/>
          <w:szCs w:val="22"/>
        </w:rPr>
        <w:t xml:space="preserve">Cost Variance (CV) = EV − AC</w:t>
      </w:r>
      <w:r>
        <w:rPr>
          <w:rFonts w:ascii="Calibri" w:cs="Calibri" w:eastAsia="Calibri" w:hAnsi="Calibri"/>
          <w:sz w:val="22"/>
          <w:szCs w:val="22"/>
        </w:rPr>
        <w:t xml:space="preserve"> — positief betekent onder budget, negatief betekent over budget.</w:t>
      </w:r>
    </w:p>
    <w:p>
      <w:pPr>
        <w:pStyle w:val="ListParagraph"/>
        <w:numPr>
          <w:ilvl w:val="0"/>
          <w:numId w:val="1"/>
        </w:numPr>
        <w:spacing w:after="100" w:line="280"/>
      </w:pPr>
      <w:r>
        <w:rPr>
          <w:rFonts w:ascii="Calibri" w:cs="Calibri" w:eastAsia="Calibri" w:hAnsi="Calibri"/>
          <w:b/>
          <w:bCs/>
          <w:sz w:val="22"/>
          <w:szCs w:val="22"/>
        </w:rPr>
        <w:t xml:space="preserve">Schedule Performance Index (SPI) = EV ÷ PV</w:t>
      </w:r>
      <w:r>
        <w:rPr>
          <w:rFonts w:ascii="Calibri" w:cs="Calibri" w:eastAsia="Calibri" w:hAnsi="Calibri"/>
          <w:sz w:val="22"/>
          <w:szCs w:val="22"/>
        </w:rPr>
        <w:t xml:space="preserve"> — boven de 1 is vóór op schema.</w:t>
      </w:r>
    </w:p>
    <w:p>
      <w:pPr>
        <w:pStyle w:val="ListParagraph"/>
        <w:numPr>
          <w:ilvl w:val="0"/>
          <w:numId w:val="1"/>
        </w:numPr>
        <w:spacing w:after="100" w:line="280"/>
      </w:pPr>
      <w:r>
        <w:rPr>
          <w:rFonts w:ascii="Calibri" w:cs="Calibri" w:eastAsia="Calibri" w:hAnsi="Calibri"/>
          <w:b/>
          <w:bCs/>
          <w:sz w:val="22"/>
          <w:szCs w:val="22"/>
        </w:rPr>
        <w:t xml:space="preserve">Cost Performance Index (CPI) = EV ÷ AC</w:t>
      </w:r>
      <w:r>
        <w:rPr>
          <w:rFonts w:ascii="Calibri" w:cs="Calibri" w:eastAsia="Calibri" w:hAnsi="Calibri"/>
          <w:sz w:val="22"/>
          <w:szCs w:val="22"/>
        </w:rPr>
        <w:t xml:space="preserve"> — boven de 1 is efficiënter dan begroot.</w:t>
      </w:r>
    </w:p>
    <w:p>
      <w:pPr>
        <w:spacing w:after="140" w:line="300"/>
      </w:pPr>
      <w:r>
        <w:rPr>
          <w:rFonts w:ascii="Calibri" w:cs="Calibri" w:eastAsia="Calibri" w:hAnsi="Calibri"/>
          <w:sz w:val="22"/>
          <w:szCs w:val="22"/>
        </w:rPr>
        <w:t xml:space="preserve">Een klein rekenvoorbeeld: een deelproject had na vier weken €40.000 aan werk moeten hebben opgeleverd (PV). In werkelijkheid is €32.000 aan waarde opgeleverd (EV), tegen €38.000 aan werkelijke kosten (AC). Dan is SV = 32.000 − 40.000 = </w:t>
      </w:r>
      <w:r>
        <w:rPr>
          <w:rFonts w:ascii="Calibri" w:cs="Calibri" w:eastAsia="Calibri" w:hAnsi="Calibri"/>
          <w:b/>
          <w:bCs/>
          <w:sz w:val="22"/>
          <w:szCs w:val="22"/>
        </w:rPr>
        <w:t xml:space="preserve">−8.000</w:t>
      </w:r>
      <w:r>
        <w:rPr>
          <w:rFonts w:ascii="Calibri" w:cs="Calibri" w:eastAsia="Calibri" w:hAnsi="Calibri"/>
          <w:sz w:val="22"/>
          <w:szCs w:val="22"/>
        </w:rPr>
        <w:t xml:space="preserve"> (achter op schema), CV = 32.000 − 38.000 = </w:t>
      </w:r>
      <w:r>
        <w:rPr>
          <w:rFonts w:ascii="Calibri" w:cs="Calibri" w:eastAsia="Calibri" w:hAnsi="Calibri"/>
          <w:b/>
          <w:bCs/>
          <w:sz w:val="22"/>
          <w:szCs w:val="22"/>
        </w:rPr>
        <w:t xml:space="preserve">−6.000</w:t>
      </w:r>
      <w:r>
        <w:rPr>
          <w:rFonts w:ascii="Calibri" w:cs="Calibri" w:eastAsia="Calibri" w:hAnsi="Calibri"/>
          <w:sz w:val="22"/>
          <w:szCs w:val="22"/>
        </w:rPr>
        <w:t xml:space="preserve"> (over budget), SPI = 32.000 ÷ 40.000 = </w:t>
      </w:r>
      <w:r>
        <w:rPr>
          <w:rFonts w:ascii="Calibri" w:cs="Calibri" w:eastAsia="Calibri" w:hAnsi="Calibri"/>
          <w:b/>
          <w:bCs/>
          <w:sz w:val="22"/>
          <w:szCs w:val="22"/>
        </w:rPr>
        <w:t xml:space="preserve">0,80</w:t>
      </w:r>
      <w:r>
        <w:rPr>
          <w:rFonts w:ascii="Calibri" w:cs="Calibri" w:eastAsia="Calibri" w:hAnsi="Calibri"/>
          <w:sz w:val="22"/>
          <w:szCs w:val="22"/>
        </w:rPr>
        <w:t xml:space="preserve"> (er wordt 80% van het geplande tempo gehaald), CPI = 32.000 ÷ 38.000 ≈ </w:t>
      </w:r>
      <w:r>
        <w:rPr>
          <w:rFonts w:ascii="Calibri" w:cs="Calibri" w:eastAsia="Calibri" w:hAnsi="Calibri"/>
          <w:b/>
          <w:bCs/>
          <w:sz w:val="22"/>
          <w:szCs w:val="22"/>
        </w:rPr>
        <w:t xml:space="preserve">0,84</w:t>
      </w:r>
      <w:r>
        <w:rPr>
          <w:rFonts w:ascii="Calibri" w:cs="Calibri" w:eastAsia="Calibri" w:hAnsi="Calibri"/>
          <w:sz w:val="22"/>
          <w:szCs w:val="22"/>
        </w:rPr>
        <w:t xml:space="preserve"> (elke bestede euro levert gemiddeld €0,84 aan geplande waarde op). Dit soort rekenvragen is een vast onderdeel van het IPMA-D-examen.</w:t>
      </w:r>
    </w:p>
    <w:p>
      <w:pPr>
        <w:pStyle w:val="Heading2"/>
        <w:spacing w:after="120" w:before="200"/>
      </w:pPr>
      <w:r>
        <w:rPr>
          <w:rFonts w:ascii="Georgia" w:cs="Georgia" w:eastAsia="Georgia" w:hAnsi="Georgia"/>
          <w:b/>
          <w:bCs/>
          <w:color w:val="2563A8"/>
          <w:sz w:val="28"/>
          <w:szCs w:val="28"/>
        </w:rPr>
        <w:t xml:space="preserve">6. Financiële basiskennis</w:t>
      </w:r>
    </w:p>
    <w:p>
      <w:pPr>
        <w:spacing w:after="140" w:line="300"/>
      </w:pPr>
      <w:r>
        <w:rPr>
          <w:rFonts w:ascii="Calibri" w:cs="Calibri" w:eastAsia="Calibri" w:hAnsi="Calibri"/>
          <w:sz w:val="22"/>
          <w:szCs w:val="22"/>
        </w:rPr>
        <w:t xml:space="preserve">Tot slot vraagt IPMA-D enige basiskennis van bedrijfseconomie die de Business Case-practice (deel 3) onderbouwt: het onderscheid tussen een balans (bezittingen, schulden, eigen vermogen op een moment) en een winst-en-verliesrekening (opbrengsten en kosten over een periode), en hoe investeringsbeslissingen — zoals de investeringsanalyse-technieken uit deel 3 — zich daartoe verhouden.</w:t>
      </w:r>
    </w:p>
    <w:p>
      <w:pPr>
        <w:pStyle w:val="Heading2"/>
        <w:spacing w:after="120" w:before="200"/>
      </w:pPr>
      <w:r>
        <w:rPr>
          <w:rFonts w:ascii="Georgia" w:cs="Georgia" w:eastAsia="Georgia" w:hAnsi="Georgia"/>
          <w:b/>
          <w:bCs/>
          <w:color w:val="2563A8"/>
          <w:sz w:val="28"/>
          <w:szCs w:val="28"/>
        </w:rPr>
        <w:t xml:space="preserve">7. Toegepast op de herstart van WGP 2.0</w:t>
      </w:r>
    </w:p>
    <w:p>
      <w:pPr>
        <w:pStyle w:val="ListParagraph"/>
        <w:numPr>
          <w:ilvl w:val="0"/>
          <w:numId w:val="1"/>
        </w:numPr>
        <w:spacing w:after="100" w:line="280"/>
      </w:pPr>
      <w:r>
        <w:rPr>
          <w:rFonts w:ascii="Calibri" w:cs="Calibri" w:eastAsia="Calibri" w:hAnsi="Calibri"/>
          <w:b/>
          <w:bCs/>
          <w:sz w:val="22"/>
          <w:szCs w:val="22"/>
        </w:rPr>
        <w:t xml:space="preserve">Stakeholderanalyse</w:t>
      </w:r>
      <w:r>
        <w:rPr>
          <w:rFonts w:ascii="Calibri" w:cs="Calibri" w:eastAsia="Calibri" w:hAnsi="Calibri"/>
          <w:sz w:val="22"/>
          <w:szCs w:val="22"/>
        </w:rPr>
        <w:t xml:space="preserve">: naast de formele stuurgroeprollen (deel 3) staan bijvoorbeeld de OR (hoge macht, wisselend belang — tevreden houden en tijdig informeren) en individuele werkgevers (lage macht, hoog belang — geïnformeerd houden via gerichte communicatie).</w:t>
      </w:r>
    </w:p>
    <w:p>
      <w:pPr>
        <w:pStyle w:val="ListParagraph"/>
        <w:numPr>
          <w:ilvl w:val="0"/>
          <w:numId w:val="1"/>
        </w:numPr>
        <w:spacing w:after="100" w:line="280"/>
      </w:pPr>
      <w:r>
        <w:rPr>
          <w:rFonts w:ascii="Calibri" w:cs="Calibri" w:eastAsia="Calibri" w:hAnsi="Calibri"/>
          <w:b/>
          <w:bCs/>
          <w:sz w:val="22"/>
          <w:szCs w:val="22"/>
        </w:rPr>
        <w:t xml:space="preserve">Netwerkplanning</w:t>
      </w:r>
      <w:r>
        <w:rPr>
          <w:rFonts w:ascii="Calibri" w:cs="Calibri" w:eastAsia="Calibri" w:hAnsi="Calibri"/>
          <w:sz w:val="22"/>
          <w:szCs w:val="22"/>
        </w:rPr>
        <w:t xml:space="preserve">: de koppeling met het kernsysteem (deel 4's PBS) ligt vermoedelijk op het kritieke pad, omdat andere producten (validatieregels, acceptatietests) daarvan afhankelijk zijn — vertraging daar raakt de hele opleverdatum, vertraging in de gebruikersdocumentatie waarschijnlijk niet.</w:t>
      </w:r>
    </w:p>
    <w:p>
      <w:pPr>
        <w:pStyle w:val="ListParagraph"/>
        <w:numPr>
          <w:ilvl w:val="0"/>
          <w:numId w:val="1"/>
        </w:numPr>
        <w:spacing w:after="100" w:line="280"/>
      </w:pPr>
      <w:r>
        <w:rPr>
          <w:rFonts w:ascii="Calibri" w:cs="Calibri" w:eastAsia="Calibri" w:hAnsi="Calibri"/>
          <w:b/>
          <w:bCs/>
          <w:sz w:val="22"/>
          <w:szCs w:val="22"/>
        </w:rPr>
        <w:t xml:space="preserve">EVA</w:t>
      </w:r>
      <w:r>
        <w:rPr>
          <w:rFonts w:ascii="Calibri" w:cs="Calibri" w:eastAsia="Calibri" w:hAnsi="Calibri"/>
          <w:sz w:val="22"/>
          <w:szCs w:val="22"/>
        </w:rPr>
        <w:t xml:space="preserve">: bij elke Highlight Report (deel 6) zou een projectmanager SPI en CPI kunnen meenemen als objectieve aanvulling op de kwalitatieve tolerantiestatus.</w:t>
      </w:r>
    </w:p>
    <w:p>
      <w:pPr>
        <w:pStyle w:val="Heading2"/>
        <w:spacing w:after="120" w:before="200"/>
      </w:pPr>
      <w:r>
        <w:rPr>
          <w:rFonts w:ascii="Georgia" w:cs="Georgia" w:eastAsia="Georgia" w:hAnsi="Georgia"/>
          <w:b/>
          <w:bCs/>
          <w:color w:val="2563A8"/>
          <w:sz w:val="28"/>
          <w:szCs w:val="28"/>
        </w:rPr>
        <w:t xml:space="preserve">8. Vooruitblik</w:t>
      </w:r>
    </w:p>
    <w:p>
      <w:pPr>
        <w:spacing w:after="140" w:line="300"/>
      </w:pPr>
      <w:r>
        <w:rPr>
          <w:rFonts w:ascii="Calibri" w:cs="Calibri" w:eastAsia="Calibri" w:hAnsi="Calibri"/>
          <w:sz w:val="22"/>
          <w:szCs w:val="22"/>
        </w:rPr>
        <w:t xml:space="preserve">Deel 10, het laatste deel van niveau 1, combineert examentraining voor PRINCE2 Foundation met een capstone-opdracht: het volledige Project Initiation Document voor de herstart van WGP 2.0 opstellen en verdedigen voor een stuurgroep.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2026-08-17T07:46:47.725Z</dcterms:created>
  <dcterms:modified xsi:type="dcterms:W3CDTF">2026-08-17T07:46:47.726Z</dcterms:modified>
</cp:coreProperties>
</file>

<file path=docProps/custom.xml><?xml version="1.0" encoding="utf-8"?>
<Properties xmlns="http://schemas.openxmlformats.org/officeDocument/2006/custom-properties" xmlns:vt="http://schemas.openxmlformats.org/officeDocument/2006/docPropsVTypes"/>
</file>