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9 — IPMA-D: wat PRINCE2 niet dekt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9.1 — Teamfase herkennen (individueel,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 elk van de volgende situaties: in welke Tuckman-fase bevindt dit team zich waarschijnlijk, en welke interventie past daarbij?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nieuw samengesteld projectteam heeft zijn eerste kick-off gehad; iedereen is beleefd en afwachtend.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Twee teamleden hebben een felle discussie over wie verantwoordelijk is voor de kwaliteit van een deelproduct.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Het team werkt al drie maanden samen, lost problemen grotendeels zelfstandig op en heeft weinig sturing meer nodig.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Na een reorganisatie zijn de rolverdelingen net opnieuw afgesproken en beginnen mensen zich daaraan te houden.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9.2 — Macht/belang-matrix (tweetallen,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Plaats de volgende stakeholders van de herstart van WGP 2.0 in de macht/belang-matrix (reader §3) en beschrijf per stakeholder een passende aanpak: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De ondernemingsraad van Meridiaan.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Een individuele werkgever die het portaal gaat gebruiken.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De IT-beheerorganisatie die het portaal na oplevering moet onderhouden.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De toezichthouder DNB (op de achtergrond relevant, gezien de sector).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9.3 — Netwerkplanning en kritieke pad (individueel, 20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Gegeven de volgende vereenvoudigde activiteitenlijst voor een deelproject: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Activiteit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Doorlooptijd (dagen)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Voorganger(s)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A. Ontwerp koppeling kernsysteem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B. Bouw koppeling kernsysteem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C. Ontwerp mutatieformulier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D. Bouw mutatieformulier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 Validatieregels implementeren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B, 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F. Integratietest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</w:tr>
    </w:tbl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Bereken voor elke activiteit de vroegst mogelijke start en het vroegst mogelijke einde (voorwaartse doorrekening).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Bepaal het kritieke pad en de totale doorlooptijd van het project.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Welke activiteiten hebben speling, en hoeveel?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9.4 — Earned Value Analysis rekenen (individueel,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deelproject van de herstart van WGP 2.0 had na zes weken €90.000 aan werk moeten hebben opgeleverd. In werkelijkheid is er €75.000 aan waarde gerealiseerd, tegen €70.000 aan werkelijke kosten.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Bereken SV en CV.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Bereken SPI en CPI.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Interpreteer de uitkomst in gewone taal: loopt dit deelproject voor of achter, en wordt er efficiënt met budget omgegaan?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PRINCE2 laat gedrag, stakeholderanalyse, schattingstechnieken en voortgangsmeting in geld bewust open — IPMA-D vult dat in. Wat zegt dat over de manier waarop deze twee certificeringen zich tot elkaar verhouden: zijn het concurrenten, of vullen ze elkaar aan? Beargumenteer met minstens één concreet voorbeeld uit dit deel.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9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2026-08-17T07:46:47.805Z</dcterms:created>
  <dcterms:modified xsi:type="dcterms:W3CDTF">2026-08-17T07:46:47.805Z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