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10 — Examentraining en capstone: het PID verdedigd</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1. Het laatste deel van niveau 1</w:t>
      </w:r>
    </w:p>
    <w:p>
      <w:pPr>
        <w:spacing w:after="140" w:line="300"/>
      </w:pPr>
      <w:r>
        <w:rPr>
          <w:rFonts w:ascii="Calibri" w:cs="Calibri" w:eastAsia="Calibri" w:hAnsi="Calibri"/>
          <w:sz w:val="22"/>
          <w:szCs w:val="22"/>
        </w:rPr>
        <w:t xml:space="preserve">Dit deel heeft twee doelen: voorbereiden op de </w:t>
      </w:r>
      <w:r>
        <w:rPr>
          <w:rFonts w:ascii="Calibri" w:cs="Calibri" w:eastAsia="Calibri" w:hAnsi="Calibri"/>
          <w:b/>
          <w:bCs/>
          <w:sz w:val="22"/>
          <w:szCs w:val="22"/>
        </w:rPr>
        <w:t xml:space="preserve">PRINCE2 7 Foundation-examen</w:t>
      </w:r>
      <w:r>
        <w:rPr>
          <w:rFonts w:ascii="Calibri" w:cs="Calibri" w:eastAsia="Calibri" w:hAnsi="Calibri"/>
          <w:sz w:val="22"/>
          <w:szCs w:val="22"/>
        </w:rPr>
        <w:t xml:space="preserve"> (en, waar relevant, IPMA-D), en de </w:t>
      </w:r>
      <w:r>
        <w:rPr>
          <w:rFonts w:ascii="Calibri" w:cs="Calibri" w:eastAsia="Calibri" w:hAnsi="Calibri"/>
          <w:b/>
          <w:bCs/>
          <w:sz w:val="22"/>
          <w:szCs w:val="22"/>
        </w:rPr>
        <w:t xml:space="preserve">capstone-opdracht</w:t>
      </w:r>
      <w:r>
        <w:rPr>
          <w:rFonts w:ascii="Calibri" w:cs="Calibri" w:eastAsia="Calibri" w:hAnsi="Calibri"/>
          <w:sz w:val="22"/>
          <w:szCs w:val="22"/>
        </w:rPr>
        <w:t xml:space="preserve">: het opstellen en verdedigen van een volledig Project Initiation Document voor de herstart van WGP 2.0, voor een stuurgroep. Beide bouwen voort op alles uit deel 1 tot en met 9.</w:t>
      </w:r>
    </w:p>
    <w:p>
      <w:pPr>
        <w:pStyle w:val="Heading2"/>
        <w:spacing w:after="120" w:before="200"/>
      </w:pPr>
      <w:r>
        <w:rPr>
          <w:rFonts w:ascii="Georgia" w:cs="Georgia" w:eastAsia="Georgia" w:hAnsi="Georgia"/>
          <w:b/>
          <w:bCs/>
          <w:color w:val="2563A8"/>
          <w:sz w:val="28"/>
          <w:szCs w:val="28"/>
        </w:rPr>
        <w:t xml:space="preserve">2. Het examenformat: PRINCE2 7 Foundation</w:t>
      </w:r>
    </w:p>
    <w:p>
      <w:pPr>
        <w:pStyle w:val="ListParagraph"/>
        <w:numPr>
          <w:ilvl w:val="0"/>
          <w:numId w:val="1"/>
        </w:numPr>
        <w:spacing w:after="100" w:line="280"/>
      </w:pPr>
      <w:r>
        <w:rPr>
          <w:rFonts w:ascii="Calibri" w:cs="Calibri" w:eastAsia="Calibri" w:hAnsi="Calibri"/>
          <w:b/>
          <w:bCs/>
          <w:sz w:val="22"/>
          <w:szCs w:val="22"/>
        </w:rPr>
        <w:t xml:space="preserve">60 meerkeuzevragen</w:t>
      </w:r>
      <w:r>
        <w:rPr>
          <w:rFonts w:ascii="Calibri" w:cs="Calibri" w:eastAsia="Calibri" w:hAnsi="Calibri"/>
          <w:sz w:val="22"/>
          <w:szCs w:val="22"/>
        </w:rPr>
        <w:t xml:space="preserve"> in </w:t>
      </w:r>
      <w:r>
        <w:rPr>
          <w:rFonts w:ascii="Calibri" w:cs="Calibri" w:eastAsia="Calibri" w:hAnsi="Calibri"/>
          <w:b/>
          <w:bCs/>
          <w:sz w:val="22"/>
          <w:szCs w:val="22"/>
        </w:rPr>
        <w:t xml:space="preserve">60 minuten</w:t>
      </w:r>
      <w:r>
        <w:rPr>
          <w:rFonts w:ascii="Calibri" w:cs="Calibri" w:eastAsia="Calibri" w:hAnsi="Calibri"/>
          <w:sz w:val="22"/>
          <w:szCs w:val="22"/>
        </w:rPr>
        <w:t xml:space="preserve">, closed-book (geen manual erbij).</w:t>
      </w:r>
    </w:p>
    <w:p>
      <w:pPr>
        <w:pStyle w:val="ListParagraph"/>
        <w:numPr>
          <w:ilvl w:val="0"/>
          <w:numId w:val="1"/>
        </w:numPr>
        <w:spacing w:after="100" w:line="280"/>
      </w:pPr>
      <w:r>
        <w:rPr>
          <w:rFonts w:ascii="Calibri" w:cs="Calibri" w:eastAsia="Calibri" w:hAnsi="Calibri"/>
          <w:b/>
          <w:bCs/>
          <w:sz w:val="22"/>
          <w:szCs w:val="22"/>
        </w:rPr>
        <w:t xml:space="preserve">Pas grens: 60%</w:t>
      </w:r>
      <w:r>
        <w:rPr>
          <w:rFonts w:ascii="Calibri" w:cs="Calibri" w:eastAsia="Calibri" w:hAnsi="Calibri"/>
          <w:sz w:val="22"/>
          <w:szCs w:val="22"/>
        </w:rPr>
        <w:t xml:space="preserve"> — minimaal 36 van de 60 vragen goed.</w:t>
      </w:r>
    </w:p>
    <w:p>
      <w:pPr>
        <w:pStyle w:val="ListParagraph"/>
        <w:numPr>
          <w:ilvl w:val="0"/>
          <w:numId w:val="1"/>
        </w:numPr>
        <w:spacing w:after="100" w:line="280"/>
      </w:pPr>
      <w:r>
        <w:rPr>
          <w:rFonts w:ascii="Calibri" w:cs="Calibri" w:eastAsia="Calibri" w:hAnsi="Calibri"/>
          <w:sz w:val="22"/>
          <w:szCs w:val="22"/>
        </w:rPr>
        <w:t xml:space="preserve">Vier vraagvormen: </w:t>
      </w:r>
      <w:r>
        <w:rPr>
          <w:rFonts w:ascii="Calibri" w:cs="Calibri" w:eastAsia="Calibri" w:hAnsi="Calibri"/>
          <w:b/>
          <w:bCs/>
          <w:sz w:val="22"/>
          <w:szCs w:val="22"/>
        </w:rPr>
        <w:t xml:space="preserve">standaard</w:t>
      </w:r>
      <w:r>
        <w:rPr>
          <w:rFonts w:ascii="Calibri" w:cs="Calibri" w:eastAsia="Calibri" w:hAnsi="Calibri"/>
          <w:sz w:val="22"/>
          <w:szCs w:val="22"/>
        </w:rPr>
        <w:t xml:space="preserve"> (één juist antwoord uit vier), </w:t>
      </w:r>
      <w:r>
        <w:rPr>
          <w:rFonts w:ascii="Calibri" w:cs="Calibri" w:eastAsia="Calibri" w:hAnsi="Calibri"/>
          <w:b/>
          <w:bCs/>
          <w:sz w:val="22"/>
          <w:szCs w:val="22"/>
        </w:rPr>
        <w:t xml:space="preserve">missing-word</w:t>
      </w:r>
      <w:r>
        <w:rPr>
          <w:rFonts w:ascii="Calibri" w:cs="Calibri" w:eastAsia="Calibri" w:hAnsi="Calibri"/>
          <w:sz w:val="22"/>
          <w:szCs w:val="22"/>
        </w:rPr>
        <w:t xml:space="preserve"> (een zin met een ontbrekend woord of begrip), </w:t>
      </w:r>
      <w:r>
        <w:rPr>
          <w:rFonts w:ascii="Calibri" w:cs="Calibri" w:eastAsia="Calibri" w:hAnsi="Calibri"/>
          <w:b/>
          <w:bCs/>
          <w:sz w:val="22"/>
          <w:szCs w:val="22"/>
        </w:rPr>
        <w:t xml:space="preserve">lijst</w:t>
      </w:r>
      <w:r>
        <w:rPr>
          <w:rFonts w:ascii="Calibri" w:cs="Calibri" w:eastAsia="Calibri" w:hAnsi="Calibri"/>
          <w:sz w:val="22"/>
          <w:szCs w:val="22"/>
        </w:rPr>
        <w:t xml:space="preserve"> (kies het juiste aantal items uit een langere lijst), </w:t>
      </w:r>
      <w:r>
        <w:rPr>
          <w:rFonts w:ascii="Calibri" w:cs="Calibri" w:eastAsia="Calibri" w:hAnsi="Calibri"/>
          <w:b/>
          <w:bCs/>
          <w:sz w:val="22"/>
          <w:szCs w:val="22"/>
        </w:rPr>
        <w:t xml:space="preserve">negatief</w:t>
      </w:r>
      <w:r>
        <w:rPr>
          <w:rFonts w:ascii="Calibri" w:cs="Calibri" w:eastAsia="Calibri" w:hAnsi="Calibri"/>
          <w:sz w:val="22"/>
          <w:szCs w:val="22"/>
        </w:rPr>
        <w:t xml:space="preserve"> (welke van de volgende is </w:t>
      </w:r>
      <w:r>
        <w:rPr>
          <w:rFonts w:ascii="Calibri" w:cs="Calibri" w:eastAsia="Calibri" w:hAnsi="Calibri"/>
          <w:i/>
          <w:iCs/>
          <w:sz w:val="22"/>
          <w:szCs w:val="22"/>
        </w:rPr>
        <w:t xml:space="preserve">níet</w:t>
      </w:r>
      <w:r>
        <w:rPr>
          <w:rFonts w:ascii="Calibri" w:cs="Calibri" w:eastAsia="Calibri" w:hAnsi="Calibri"/>
          <w:sz w:val="22"/>
          <w:szCs w:val="22"/>
        </w:rPr>
        <w:t xml:space="preserve"> juist/geen onderdeel van X).</w:t>
      </w:r>
    </w:p>
    <w:p>
      <w:pPr>
        <w:pStyle w:val="ListParagraph"/>
        <w:numPr>
          <w:ilvl w:val="0"/>
          <w:numId w:val="1"/>
        </w:numPr>
        <w:spacing w:after="100" w:line="280"/>
      </w:pPr>
      <w:r>
        <w:rPr>
          <w:rFonts w:ascii="Calibri" w:cs="Calibri" w:eastAsia="Calibri" w:hAnsi="Calibri"/>
          <w:sz w:val="22"/>
          <w:szCs w:val="22"/>
        </w:rPr>
        <w:t xml:space="preserve">Elke vraag telt één punt, geen aftrek voor een fout antwoord — een onbeantwoorde vraag kost je dus altijd een punt, gok bij twijfel.</w:t>
      </w:r>
    </w:p>
    <w:p>
      <w:pPr>
        <w:pStyle w:val="ListParagraph"/>
        <w:numPr>
          <w:ilvl w:val="0"/>
          <w:numId w:val="1"/>
        </w:numPr>
        <w:spacing w:after="100" w:line="280"/>
      </w:pPr>
      <w:r>
        <w:rPr>
          <w:rFonts w:ascii="Calibri" w:cs="Calibri" w:eastAsia="Calibri" w:hAnsi="Calibri"/>
          <w:sz w:val="22"/>
          <w:szCs w:val="22"/>
        </w:rPr>
        <w:t xml:space="preserve">Vragen testen begrip, niet alleen feitenkennis: veel vragen draaien om het </w:t>
      </w:r>
      <w:r>
        <w:rPr>
          <w:rFonts w:ascii="Calibri" w:cs="Calibri" w:eastAsia="Calibri" w:hAnsi="Calibri"/>
          <w:i/>
          <w:iCs/>
          <w:sz w:val="22"/>
          <w:szCs w:val="22"/>
        </w:rPr>
        <w:t xml:space="preserve">doel</w:t>
      </w:r>
      <w:r>
        <w:rPr>
          <w:rFonts w:ascii="Calibri" w:cs="Calibri" w:eastAsia="Calibri" w:hAnsi="Calibri"/>
          <w:sz w:val="22"/>
          <w:szCs w:val="22"/>
        </w:rPr>
        <w:t xml:space="preserve"> van een practice of proces, of om de vraag "waar in de tijdlijn bevinden we ons, en wat gebeurt er dan."</w:t>
      </w:r>
    </w:p>
    <w:p>
      <w:pPr>
        <w:spacing w:after="140" w:line="300"/>
      </w:pPr>
      <w:r>
        <w:rPr>
          <w:rFonts w:ascii="Calibri" w:cs="Calibri" w:eastAsia="Calibri" w:hAnsi="Calibri"/>
          <w:b/>
          <w:bCs/>
          <w:sz w:val="22"/>
          <w:szCs w:val="22"/>
        </w:rPr>
        <w:t xml:space="preserve">Drie klassieke examenvallen</w:t>
      </w:r>
      <w:r>
        <w:rPr>
          <w:rFonts w:ascii="Calibri" w:cs="Calibri" w:eastAsia="Calibri" w:hAnsi="Calibri"/>
          <w:sz w:val="22"/>
          <w:szCs w:val="22"/>
        </w:rPr>
        <w:t xml:space="preserve"> (herhaling van eerdere delen, hier gebundeld omdat ze het vaakst punten kosten):</w:t>
      </w:r>
    </w:p>
    <w:p>
      <w:pPr>
        <w:pStyle w:val="ListParagraph"/>
        <w:numPr>
          <w:ilvl w:val="0"/>
          <w:numId w:val="1"/>
        </w:numPr>
        <w:spacing w:after="100" w:line="280"/>
      </w:pPr>
      <w:r>
        <w:rPr>
          <w:rFonts w:ascii="Calibri" w:cs="Calibri" w:eastAsia="Calibri" w:hAnsi="Calibri"/>
          <w:sz w:val="22"/>
          <w:szCs w:val="22"/>
        </w:rPr>
        <w:t xml:space="preserve">Principes vs. practices/processen door elkaar halen (deel 2, §1) — principes worden nooit getailord.</w:t>
      </w:r>
    </w:p>
    <w:p>
      <w:pPr>
        <w:pStyle w:val="ListParagraph"/>
        <w:numPr>
          <w:ilvl w:val="0"/>
          <w:numId w:val="1"/>
        </w:numPr>
        <w:spacing w:after="100" w:line="280"/>
      </w:pPr>
      <w:r>
        <w:rPr>
          <w:rFonts w:ascii="Calibri" w:cs="Calibri" w:eastAsia="Calibri" w:hAnsi="Calibri"/>
          <w:sz w:val="22"/>
          <w:szCs w:val="22"/>
        </w:rPr>
        <w:t xml:space="preserve">Tijdgedreven vs. gebeurtenisgedreven controls verwisselen (deel 6, §3) — een Highlight Report is altijd tijdgedreven, een Exception Report altijd gebeurtenisgedreven.</w:t>
      </w:r>
    </w:p>
    <w:p>
      <w:pPr>
        <w:pStyle w:val="ListParagraph"/>
        <w:numPr>
          <w:ilvl w:val="0"/>
          <w:numId w:val="1"/>
        </w:numPr>
        <w:spacing w:after="100" w:line="280"/>
      </w:pPr>
      <w:r>
        <w:rPr>
          <w:rFonts w:ascii="Calibri" w:cs="Calibri" w:eastAsia="Calibri" w:hAnsi="Calibri"/>
          <w:sz w:val="22"/>
          <w:szCs w:val="22"/>
        </w:rPr>
        <w:t xml:space="preserve">Issue en risico door elkaar halen (deel 5, §3) — een risico is onzeker, een issue is een feit.</w:t>
      </w:r>
    </w:p>
    <w:p>
      <w:pPr>
        <w:spacing w:after="140" w:line="300"/>
      </w:pPr>
      <w:r>
        <w:rPr>
          <w:rFonts w:ascii="Calibri" w:cs="Calibri" w:eastAsia="Calibri" w:hAnsi="Calibri"/>
          <w:b/>
          <w:bCs/>
          <w:sz w:val="22"/>
          <w:szCs w:val="22"/>
        </w:rPr>
        <w:t xml:space="preserve">IPMA-D</w:t>
      </w:r>
      <w:r>
        <w:rPr>
          <w:rFonts w:ascii="Calibri" w:cs="Calibri" w:eastAsia="Calibri" w:hAnsi="Calibri"/>
          <w:sz w:val="22"/>
          <w:szCs w:val="22"/>
        </w:rPr>
        <w:t xml:space="preserve">, ter herinnering (deel 9, §1): een gecombineerd examen van circa 50% meerkeuzevragen en 50% open, vaak rekenkundige vragen (netwerkplanning, Earned Value Analysis) — reken erop dat je die rekentechnieken uit deel 9 vlot moet kunnen toepassen, niet alleen herkennen.</w:t>
      </w:r>
    </w:p>
    <w:p>
      <w:pPr>
        <w:pStyle w:val="Heading2"/>
        <w:spacing w:after="120" w:before="200"/>
      </w:pPr>
      <w:r>
        <w:rPr>
          <w:rFonts w:ascii="Georgia" w:cs="Georgia" w:eastAsia="Georgia" w:hAnsi="Georgia"/>
          <w:b/>
          <w:bCs/>
          <w:color w:val="2563A8"/>
          <w:sz w:val="28"/>
          <w:szCs w:val="28"/>
        </w:rPr>
        <w:t xml:space="preserve">3. De capstone-opdracht: het PID verdedigen</w:t>
      </w:r>
    </w:p>
    <w:p>
      <w:pPr>
        <w:spacing w:after="140" w:line="300"/>
      </w:pPr>
      <w:r>
        <w:rPr>
          <w:rFonts w:ascii="Calibri" w:cs="Calibri" w:eastAsia="Calibri" w:hAnsi="Calibri"/>
          <w:b/>
          <w:bCs/>
          <w:sz w:val="22"/>
          <w:szCs w:val="22"/>
        </w:rPr>
        <w:t xml:space="preserve">De opdracht.</w:t>
      </w:r>
      <w:r>
        <w:rPr>
          <w:rFonts w:ascii="Calibri" w:cs="Calibri" w:eastAsia="Calibri" w:hAnsi="Calibri"/>
          <w:sz w:val="22"/>
          <w:szCs w:val="22"/>
        </w:rPr>
        <w:t xml:space="preserve"> In groepen van circa vier stelt elke groep een volledig (vereenvoudigd) Project Initiation Document op voor de herstart van WGP 2.0, en verdedigt dit vervolgens mondeling voor een "stuurgroep" — gespeeld door een andere groep of door de docent, in de rollen Executive, Senior User en Senior Supplier (deel 3).</w:t>
      </w:r>
    </w:p>
    <w:p>
      <w:pPr>
        <w:spacing w:after="140" w:line="300"/>
      </w:pPr>
      <w:r>
        <w:rPr>
          <w:rFonts w:ascii="Calibri" w:cs="Calibri" w:eastAsia="Calibri" w:hAnsi="Calibri"/>
          <w:b/>
          <w:bCs/>
          <w:sz w:val="22"/>
          <w:szCs w:val="22"/>
        </w:rPr>
        <w:t xml:space="preserve">Wat het PID moet bevatten</w:t>
      </w:r>
      <w:r>
        <w:rPr>
          <w:rFonts w:ascii="Calibri" w:cs="Calibri" w:eastAsia="Calibri" w:hAnsi="Calibri"/>
          <w:sz w:val="22"/>
          <w:szCs w:val="22"/>
        </w:rPr>
        <w:t xml:space="preserve"> (bouw voort op eerder werk uit deel 2 t/m 9):</w:t>
      </w:r>
    </w:p>
    <w:p>
      <w:pPr>
        <w:pStyle w:val="ListParagraph"/>
        <w:numPr>
          <w:ilvl w:val="0"/>
          <w:numId w:val="1"/>
        </w:numPr>
        <w:spacing w:after="100" w:line="280"/>
      </w:pPr>
      <w:r>
        <w:rPr>
          <w:rFonts w:ascii="Calibri" w:cs="Calibri" w:eastAsia="Calibri" w:hAnsi="Calibri"/>
          <w:sz w:val="22"/>
          <w:szCs w:val="22"/>
        </w:rPr>
        <w:t xml:space="preserve">Een </w:t>
      </w:r>
      <w:r>
        <w:rPr>
          <w:rFonts w:ascii="Calibri" w:cs="Calibri" w:eastAsia="Calibri" w:hAnsi="Calibri"/>
          <w:b/>
          <w:bCs/>
          <w:sz w:val="22"/>
          <w:szCs w:val="22"/>
        </w:rPr>
        <w:t xml:space="preserve">tailoring-verantwoording</w:t>
      </w:r>
      <w:r>
        <w:rPr>
          <w:rFonts w:ascii="Calibri" w:cs="Calibri" w:eastAsia="Calibri" w:hAnsi="Calibri"/>
          <w:sz w:val="22"/>
          <w:szCs w:val="22"/>
        </w:rPr>
        <w:t xml:space="preserve">: welke keuzes zijn gemaakt en waarom, met expliciete bevestiging dat alle zeven principes intact blijven (deel 2).</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business case</w:t>
      </w:r>
      <w:r>
        <w:rPr>
          <w:rFonts w:ascii="Calibri" w:cs="Calibri" w:eastAsia="Calibri" w:hAnsi="Calibri"/>
          <w:sz w:val="22"/>
          <w:szCs w:val="22"/>
        </w:rPr>
        <w:t xml:space="preserve">: van outline naar detailed, met de waardeketen output→outcome→benefit/dis-benefit en minstens één investeringsanalyse-techniek (deel 3).</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projectorganisatie</w:t>
      </w:r>
      <w:r>
        <w:rPr>
          <w:rFonts w:ascii="Calibri" w:cs="Calibri" w:eastAsia="Calibri" w:hAnsi="Calibri"/>
          <w:sz w:val="22"/>
          <w:szCs w:val="22"/>
        </w:rPr>
        <w:t xml:space="preserve">: rollen toegewezen, met motivatie per rol en expliciete naleving van de combinatieregels (deel 3).</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Project Product Description</w:t>
      </w:r>
      <w:r>
        <w:rPr>
          <w:rFonts w:ascii="Calibri" w:cs="Calibri" w:eastAsia="Calibri" w:hAnsi="Calibri"/>
          <w:sz w:val="22"/>
          <w:szCs w:val="22"/>
        </w:rPr>
        <w:t xml:space="preserve">, een </w:t>
      </w:r>
      <w:r>
        <w:rPr>
          <w:rFonts w:ascii="Calibri" w:cs="Calibri" w:eastAsia="Calibri" w:hAnsi="Calibri"/>
          <w:b/>
          <w:bCs/>
          <w:sz w:val="22"/>
          <w:szCs w:val="22"/>
        </w:rPr>
        <w:t xml:space="preserve">Product Breakdown Structure</w:t>
      </w:r>
      <w:r>
        <w:rPr>
          <w:rFonts w:ascii="Calibri" w:cs="Calibri" w:eastAsia="Calibri" w:hAnsi="Calibri"/>
          <w:sz w:val="22"/>
          <w:szCs w:val="22"/>
        </w:rPr>
        <w:t xml:space="preserve"> en een </w:t>
      </w:r>
      <w:r>
        <w:rPr>
          <w:rFonts w:ascii="Calibri" w:cs="Calibri" w:eastAsia="Calibri" w:hAnsi="Calibri"/>
          <w:b/>
          <w:bCs/>
          <w:sz w:val="22"/>
          <w:szCs w:val="22"/>
        </w:rPr>
        <w:t xml:space="preserve">Product Flow Diagram</w:t>
      </w:r>
      <w:r>
        <w:rPr>
          <w:rFonts w:ascii="Calibri" w:cs="Calibri" w:eastAsia="Calibri" w:hAnsi="Calibri"/>
          <w:sz w:val="22"/>
          <w:szCs w:val="22"/>
        </w:rPr>
        <w:t xml:space="preserve"> voor het werkgeversportaal (deel 4).</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kwaliteitsmanagementaanpak</w:t>
      </w:r>
      <w:r>
        <w:rPr>
          <w:rFonts w:ascii="Calibri" w:cs="Calibri" w:eastAsia="Calibri" w:hAnsi="Calibri"/>
          <w:sz w:val="22"/>
          <w:szCs w:val="22"/>
        </w:rPr>
        <w:t xml:space="preserve">: acceptatiecriteria met MoSCoW-prioritering (deel 5).</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issue- en wijzigingsbeheeraanpak</w:t>
      </w:r>
      <w:r>
        <w:rPr>
          <w:rFonts w:ascii="Calibri" w:cs="Calibri" w:eastAsia="Calibri" w:hAnsi="Calibri"/>
          <w:sz w:val="22"/>
          <w:szCs w:val="22"/>
        </w:rPr>
        <w:t xml:space="preserve">: autoriteitsniveaus, eventueel een Change Authority (deel 5).</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risicomanagementaanpak</w:t>
      </w:r>
      <w:r>
        <w:rPr>
          <w:rFonts w:ascii="Calibri" w:cs="Calibri" w:eastAsia="Calibri" w:hAnsi="Calibri"/>
          <w:sz w:val="22"/>
          <w:szCs w:val="22"/>
        </w:rPr>
        <w:t xml:space="preserve">: minstens vijf risico's (bedreigingen én kansen), elk met respons, risico-eigenaar en risicoactie-eigenaar (deel 6).</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communicatie- en voortgangsaanpak</w:t>
      </w:r>
      <w:r>
        <w:rPr>
          <w:rFonts w:ascii="Calibri" w:cs="Calibri" w:eastAsia="Calibri" w:hAnsi="Calibri"/>
          <w:sz w:val="22"/>
          <w:szCs w:val="22"/>
        </w:rPr>
        <w:t xml:space="preserve">: toleranties per niveau, rapportagefrequenties (deel 6).</w:t>
      </w:r>
    </w:p>
    <w:p>
      <w:pPr>
        <w:pStyle w:val="ListParagraph"/>
        <w:numPr>
          <w:ilvl w:val="0"/>
          <w:numId w:val="1"/>
        </w:numPr>
        <w:spacing w:after="100" w:line="280"/>
      </w:pPr>
      <w:r>
        <w:rPr>
          <w:rFonts w:ascii="Calibri" w:cs="Calibri" w:eastAsia="Calibri" w:hAnsi="Calibri"/>
          <w:sz w:val="22"/>
          <w:szCs w:val="22"/>
        </w:rPr>
        <w:t xml:space="preserve">Een </w:t>
      </w:r>
      <w:r>
        <w:rPr>
          <w:rFonts w:ascii="Calibri" w:cs="Calibri" w:eastAsia="Calibri" w:hAnsi="Calibri"/>
          <w:b/>
          <w:bCs/>
          <w:sz w:val="22"/>
          <w:szCs w:val="22"/>
        </w:rPr>
        <w:t xml:space="preserve">stakeholderanalyse</w:t>
      </w:r>
      <w:r>
        <w:rPr>
          <w:rFonts w:ascii="Calibri" w:cs="Calibri" w:eastAsia="Calibri" w:hAnsi="Calibri"/>
          <w:sz w:val="22"/>
          <w:szCs w:val="22"/>
        </w:rPr>
        <w:t xml:space="preserve"> met de macht/belang-matrix (deel 9).</w:t>
      </w:r>
    </w:p>
    <w:p>
      <w:pPr>
        <w:spacing w:after="140" w:line="300"/>
      </w:pPr>
      <w:r>
        <w:rPr>
          <w:rFonts w:ascii="Calibri" w:cs="Calibri" w:eastAsia="Calibri" w:hAnsi="Calibri"/>
          <w:b/>
          <w:bCs/>
          <w:sz w:val="22"/>
          <w:szCs w:val="22"/>
        </w:rPr>
        <w:t xml:space="preserve">De verdediging.</w:t>
      </w:r>
      <w:r>
        <w:rPr>
          <w:rFonts w:ascii="Calibri" w:cs="Calibri" w:eastAsia="Calibri" w:hAnsi="Calibri"/>
          <w:sz w:val="22"/>
          <w:szCs w:val="22"/>
        </w:rPr>
        <w:t xml:space="preserve"> Elke groep krijgt 20 tot 25 minuten om het PID te presenteren en vragen van de stuurgroep te beantwoorden. De stuurgroep stelt kritische vragen die specifiek testen of de zeven bevindingen uit deel 1 daadwerkelijk zijn voorkomen — niet alleen of ze op papier worden genoemd. Typische vragen: "Waarom zou de business case dít keer wél levend blijven?" "Wat gebeurt er als deze tolerantie wordt overschreden — laat concreet zien wie dan wat doet." "Wijs een risico aan met een eigenaar, en leg uit wat er gebeurt als dat risico zich voordoet."</w:t>
      </w:r>
    </w:p>
    <w:p>
      <w:pPr>
        <w:pStyle w:val="Heading2"/>
        <w:spacing w:after="120" w:before="200"/>
      </w:pPr>
      <w:r>
        <w:rPr>
          <w:rFonts w:ascii="Georgia" w:cs="Georgia" w:eastAsia="Georgia" w:hAnsi="Georgia"/>
          <w:b/>
          <w:bCs/>
          <w:color w:val="2563A8"/>
          <w:sz w:val="28"/>
          <w:szCs w:val="28"/>
        </w:rPr>
        <w:t xml:space="preserve">4. De beoordelingsrubric</w:t>
      </w:r>
    </w:p>
    <w:p>
      <w:pPr>
        <w:spacing w:after="140" w:line="300"/>
      </w:pPr>
      <w:r>
        <w:rPr>
          <w:rFonts w:ascii="Calibri" w:cs="Calibri" w:eastAsia="Calibri" w:hAnsi="Calibri"/>
          <w:sz w:val="22"/>
          <w:szCs w:val="22"/>
        </w:rPr>
        <w:t xml:space="preserve">Elke verdediging wordt beoordeeld op vier criteria:</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Volledigheid en samenhang</w:t>
      </w:r>
      <w:r>
        <w:rPr>
          <w:rFonts w:ascii="Calibri" w:cs="Calibri" w:eastAsia="Calibri" w:hAnsi="Calibri"/>
          <w:sz w:val="22"/>
          <w:szCs w:val="22"/>
        </w:rPr>
        <w:t xml:space="preserve"> — zijn alle onderdelen van het PID aanwezig, en verwijzen ze coherent naar elkaar? (Sluit de business case aan bij de PBS? Sluiten de toleranties aan bij de toegewezen rollen?)</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Correcte toepassing en verantwoorde tailoring</w:t>
      </w:r>
      <w:r>
        <w:rPr>
          <w:rFonts w:ascii="Calibri" w:cs="Calibri" w:eastAsia="Calibri" w:hAnsi="Calibri"/>
          <w:sz w:val="22"/>
          <w:szCs w:val="22"/>
        </w:rPr>
        <w:t xml:space="preserve"> — blijven alle zeven principes intact, en is elke tailoring-keuze bewust beargumenteerd in plaats van willekeurig?</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Herkenbare sluiting van de zeven bevindingen</w:t>
      </w:r>
      <w:r>
        <w:rPr>
          <w:rFonts w:ascii="Calibri" w:cs="Calibri" w:eastAsia="Calibri" w:hAnsi="Calibri"/>
          <w:sz w:val="22"/>
          <w:szCs w:val="22"/>
        </w:rPr>
        <w:t xml:space="preserve"> — kan de groep, onder kritische bevraging, exact aanwijzen hóe elke bevinding uit deel 1 in dít PID is voorkomen?</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Overtuigende verdediging</w:t>
      </w:r>
      <w:r>
        <w:rPr>
          <w:rFonts w:ascii="Calibri" w:cs="Calibri" w:eastAsia="Calibri" w:hAnsi="Calibri"/>
          <w:sz w:val="22"/>
          <w:szCs w:val="22"/>
        </w:rPr>
        <w:t xml:space="preserve"> — heldere rolverdeling binnen de groep, adequaat en besluitvaardig reageren op vragen van de stuurgroep.</w:t>
      </w:r>
    </w:p>
    <w:p>
      <w:pPr>
        <w:pStyle w:val="Heading2"/>
        <w:spacing w:after="120" w:before="200"/>
      </w:pPr>
      <w:r>
        <w:rPr>
          <w:rFonts w:ascii="Georgia" w:cs="Georgia" w:eastAsia="Georgia" w:hAnsi="Georgia"/>
          <w:b/>
          <w:bCs/>
          <w:color w:val="2563A8"/>
          <w:sz w:val="28"/>
          <w:szCs w:val="28"/>
        </w:rPr>
        <w:t xml:space="preserve">5. Terugblik: de hele boog van niveau 1</w:t>
      </w:r>
    </w:p>
    <w:p>
      <w:pPr>
        <w:spacing w:after="140" w:line="300"/>
      </w:pPr>
      <w:r>
        <w:rPr>
          <w:rFonts w:ascii="Calibri" w:cs="Calibri" w:eastAsia="Calibri" w:hAnsi="Calibri"/>
          <w:sz w:val="22"/>
          <w:szCs w:val="22"/>
        </w:rPr>
        <w:t xml:space="preserve">Bij de capstone komt alles samen wat sinds deel 1 is opgebouwd:</w:t>
      </w:r>
    </w:p>
    <w:p>
      <w:pPr>
        <w:pStyle w:val="ListParagraph"/>
        <w:numPr>
          <w:ilvl w:val="0"/>
          <w:numId w:val="1"/>
        </w:numPr>
        <w:spacing w:after="100" w:line="280"/>
      </w:pPr>
      <w:r>
        <w:rPr>
          <w:rFonts w:ascii="Calibri" w:cs="Calibri" w:eastAsia="Calibri" w:hAnsi="Calibri"/>
          <w:b/>
          <w:bCs/>
          <w:sz w:val="22"/>
          <w:szCs w:val="22"/>
        </w:rPr>
        <w:t xml:space="preserve">Deel 1</w:t>
      </w:r>
      <w:r>
        <w:rPr>
          <w:rFonts w:ascii="Calibri" w:cs="Calibri" w:eastAsia="Calibri" w:hAnsi="Calibri"/>
          <w:sz w:val="22"/>
          <w:szCs w:val="22"/>
        </w:rPr>
        <w:t xml:space="preserve">: zeven bevindingen uit een mislukt project, plus het onderscheid project/programma/portfolio.</w:t>
      </w:r>
    </w:p>
    <w:p>
      <w:pPr>
        <w:pStyle w:val="ListParagraph"/>
        <w:numPr>
          <w:ilvl w:val="0"/>
          <w:numId w:val="1"/>
        </w:numPr>
        <w:spacing w:after="100" w:line="280"/>
      </w:pPr>
      <w:r>
        <w:rPr>
          <w:rFonts w:ascii="Calibri" w:cs="Calibri" w:eastAsia="Calibri" w:hAnsi="Calibri"/>
          <w:b/>
          <w:bCs/>
          <w:sz w:val="22"/>
          <w:szCs w:val="22"/>
        </w:rPr>
        <w:t xml:space="preserve">Deel 2</w:t>
      </w:r>
      <w:r>
        <w:rPr>
          <w:rFonts w:ascii="Calibri" w:cs="Calibri" w:eastAsia="Calibri" w:hAnsi="Calibri"/>
          <w:sz w:val="22"/>
          <w:szCs w:val="22"/>
        </w:rPr>
        <w:t xml:space="preserve">: de zeven principes, elk gekoppeld aan een bevinding.</w:t>
      </w:r>
    </w:p>
    <w:p>
      <w:pPr>
        <w:pStyle w:val="ListParagraph"/>
        <w:numPr>
          <w:ilvl w:val="0"/>
          <w:numId w:val="1"/>
        </w:numPr>
        <w:spacing w:after="100" w:line="280"/>
      </w:pPr>
      <w:r>
        <w:rPr>
          <w:rFonts w:ascii="Calibri" w:cs="Calibri" w:eastAsia="Calibri" w:hAnsi="Calibri"/>
          <w:b/>
          <w:bCs/>
          <w:sz w:val="22"/>
          <w:szCs w:val="22"/>
        </w:rPr>
        <w:t xml:space="preserve">Deel 3–6</w:t>
      </w:r>
      <w:r>
        <w:rPr>
          <w:rFonts w:ascii="Calibri" w:cs="Calibri" w:eastAsia="Calibri" w:hAnsi="Calibri"/>
          <w:sz w:val="22"/>
          <w:szCs w:val="22"/>
        </w:rPr>
        <w:t xml:space="preserve">: de zeven practices die de principes concreet maken.</w:t>
      </w:r>
    </w:p>
    <w:p>
      <w:pPr>
        <w:pStyle w:val="ListParagraph"/>
        <w:numPr>
          <w:ilvl w:val="0"/>
          <w:numId w:val="1"/>
        </w:numPr>
        <w:spacing w:after="100" w:line="280"/>
      </w:pPr>
      <w:r>
        <w:rPr>
          <w:rFonts w:ascii="Calibri" w:cs="Calibri" w:eastAsia="Calibri" w:hAnsi="Calibri"/>
          <w:b/>
          <w:bCs/>
          <w:sz w:val="22"/>
          <w:szCs w:val="22"/>
        </w:rPr>
        <w:t xml:space="preserve">Deel 7–8</w:t>
      </w:r>
      <w:r>
        <w:rPr>
          <w:rFonts w:ascii="Calibri" w:cs="Calibri" w:eastAsia="Calibri" w:hAnsi="Calibri"/>
          <w:sz w:val="22"/>
          <w:szCs w:val="22"/>
        </w:rPr>
        <w:t xml:space="preserve">: de zeven processen die alles chronologisch ordenen.</w:t>
      </w:r>
    </w:p>
    <w:p>
      <w:pPr>
        <w:pStyle w:val="ListParagraph"/>
        <w:numPr>
          <w:ilvl w:val="0"/>
          <w:numId w:val="1"/>
        </w:numPr>
        <w:spacing w:after="100" w:line="280"/>
      </w:pPr>
      <w:r>
        <w:rPr>
          <w:rFonts w:ascii="Calibri" w:cs="Calibri" w:eastAsia="Calibri" w:hAnsi="Calibri"/>
          <w:b/>
          <w:bCs/>
          <w:sz w:val="22"/>
          <w:szCs w:val="22"/>
        </w:rPr>
        <w:t xml:space="preserve">Deel 9</w:t>
      </w:r>
      <w:r>
        <w:rPr>
          <w:rFonts w:ascii="Calibri" w:cs="Calibri" w:eastAsia="Calibri" w:hAnsi="Calibri"/>
          <w:sz w:val="22"/>
          <w:szCs w:val="22"/>
        </w:rPr>
        <w:t xml:space="preserve">: wat IPMA-D toevoegt waar PRINCE2 bewust ruimte open laat.</w:t>
      </w:r>
    </w:p>
    <w:p>
      <w:pPr>
        <w:pStyle w:val="ListParagraph"/>
        <w:numPr>
          <w:ilvl w:val="0"/>
          <w:numId w:val="1"/>
        </w:numPr>
        <w:spacing w:after="100" w:line="280"/>
      </w:pPr>
      <w:r>
        <w:rPr>
          <w:rFonts w:ascii="Calibri" w:cs="Calibri" w:eastAsia="Calibri" w:hAnsi="Calibri"/>
          <w:b/>
          <w:bCs/>
          <w:sz w:val="22"/>
          <w:szCs w:val="22"/>
        </w:rPr>
        <w:t xml:space="preserve">Deel 10</w:t>
      </w:r>
      <w:r>
        <w:rPr>
          <w:rFonts w:ascii="Calibri" w:cs="Calibri" w:eastAsia="Calibri" w:hAnsi="Calibri"/>
          <w:sz w:val="22"/>
          <w:szCs w:val="22"/>
        </w:rPr>
        <w:t xml:space="preserve">: alles samengebracht in één document, verdedigd voor een kritische stuurgroep — precies de proef die WGP 2.0 de eerste keer niet doorstond.</w:t>
      </w:r>
    </w:p>
    <w:p>
      <w:pPr>
        <w:pStyle w:val="Heading2"/>
        <w:spacing w:after="120" w:before="200"/>
      </w:pPr>
      <w:r>
        <w:rPr>
          <w:rFonts w:ascii="Georgia" w:cs="Georgia" w:eastAsia="Georgia" w:hAnsi="Georgia"/>
          <w:b/>
          <w:bCs/>
          <w:color w:val="2563A8"/>
          <w:sz w:val="28"/>
          <w:szCs w:val="28"/>
        </w:rPr>
        <w:t xml:space="preserve">6. Vooruitblik</w:t>
      </w:r>
    </w:p>
    <w:p>
      <w:pPr>
        <w:spacing w:after="140" w:line="300"/>
      </w:pPr>
      <w:r>
        <w:rPr>
          <w:rFonts w:ascii="Calibri" w:cs="Calibri" w:eastAsia="Calibri" w:hAnsi="Calibri"/>
          <w:sz w:val="22"/>
          <w:szCs w:val="22"/>
        </w:rPr>
        <w:t xml:space="preserve">Niveau 2 verlegt de casus van een project naar een </w:t>
      </w:r>
      <w:r>
        <w:rPr>
          <w:rFonts w:ascii="Calibri" w:cs="Calibri" w:eastAsia="Calibri" w:hAnsi="Calibri"/>
          <w:b/>
          <w:bCs/>
          <w:sz w:val="22"/>
          <w:szCs w:val="22"/>
        </w:rPr>
        <w:t xml:space="preserve">programma</w:t>
      </w:r>
      <w:r>
        <w:rPr>
          <w:rFonts w:ascii="Calibri" w:cs="Calibri" w:eastAsia="Calibri" w:hAnsi="Calibri"/>
          <w:sz w:val="22"/>
          <w:szCs w:val="22"/>
        </w:rPr>
        <w:t xml:space="preserve">: het Programma Mutatieplatform, waarin WGP 2.0 niet langer op zichzelf staat maar één van vijf gecoördineerde initiatieven is. Dat brengt een nieuwe methode (MSP) en een nieuw certificeringsniveau (IPMA-C) met zich mee, bovenop verdieping van PRINCE2 zelf (Practitioner-niveau).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10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2026-08-17T07:33:28.971Z</dcterms:created>
  <dcterms:modified xsi:type="dcterms:W3CDTF">2026-08-17T07:33:28.973Z</dcterms:modified>
</cp:coreProperties>
</file>

<file path=docProps/custom.xml><?xml version="1.0" encoding="utf-8"?>
<Properties xmlns="http://schemas.openxmlformats.org/officeDocument/2006/custom-properties" xmlns:vt="http://schemas.openxmlformats.org/officeDocument/2006/docPropsVTypes"/>
</file>