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11 — Van project naar programma</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11 (deel 1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overstap van project- naar programmadenken laten landen door voortdurend te vergelijken met het vertrouwde PRINCE2-kader uit niveau 1, in plaats van MSP als volledig nieuwe stof te introduceren. De architecturale parallel (principes/themes/processen versus principes/practices/processen) is het belangrijkste ankerpunt van dit deel.</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niveau 1, introductie casus Programma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wél/geen programma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discussie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elementen van MSP, parallel met PRINCE2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zeven principes van MSP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zeven themes, kort overzicht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Programma-organisatie en rollen (reader §6) + opdracht 11.2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geïntroduceerd, 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Vermijd de indruk dat MSP "PRINCE2 maar dan groter" is.</w:t>
      </w:r>
      <w:r>
        <w:rPr>
          <w:rFonts w:ascii="Calibri" w:cs="Calibri" w:eastAsia="Calibri" w:hAnsi="Calibri"/>
          <w:sz w:val="22"/>
          <w:szCs w:val="22"/>
        </w:rPr>
        <w:t xml:space="preserve"> Benadruk expliciet het cyclische karakter (reader §7) als fundamenteel verschil, niet slechts een schaalverschil — dit voorkomt een veelvoorkomend misverstand dat later in niveau 2 (met name bij Structure/tranches, deel 15) tot verwarring leidt.</w:t>
      </w:r>
    </w:p>
    <w:p>
      <w:pPr>
        <w:pStyle w:val="ListParagraph"/>
        <w:numPr>
          <w:ilvl w:val="0"/>
          <w:numId w:val="1"/>
        </w:numPr>
        <w:spacing w:after="100" w:line="280"/>
      </w:pPr>
      <w:r>
        <w:rPr>
          <w:rFonts w:ascii="Calibri" w:cs="Calibri" w:eastAsia="Calibri" w:hAnsi="Calibri"/>
          <w:b/>
          <w:bCs/>
          <w:sz w:val="22"/>
          <w:szCs w:val="22"/>
        </w:rPr>
        <w:t xml:space="preserve">Bij opdracht 11.1 is (c) een instinker.</w:t>
      </w:r>
      <w:r>
        <w:rPr>
          <w:rFonts w:ascii="Calibri" w:cs="Calibri" w:eastAsia="Calibri" w:hAnsi="Calibri"/>
          <w:sz w:val="22"/>
          <w:szCs w:val="22"/>
        </w:rPr>
        <w:t xml:space="preserve"> Twee projecten die toevallig in hetzelfde budgetjaar vallen, voelen voor sommige deelnemers als "moet gecoördineerd worden" — leg de nadruk op de toets: zonder gedeeld strategisch doel is een programma overbodige overhead, ook als er wel enige praktische raakvlakken zijn (bijvoorbeeld gedeelde resources). Praktische coördinatie kan ook lichter, via portfoliomanagement (deel 20).</w:t>
      </w:r>
    </w:p>
    <w:p>
      <w:pPr>
        <w:pStyle w:val="ListParagraph"/>
        <w:numPr>
          <w:ilvl w:val="0"/>
          <w:numId w:val="1"/>
        </w:numPr>
        <w:spacing w:after="100" w:line="280"/>
      </w:pPr>
      <w:r>
        <w:rPr>
          <w:rFonts w:ascii="Calibri" w:cs="Calibri" w:eastAsia="Calibri" w:hAnsi="Calibri"/>
          <w:b/>
          <w:bCs/>
          <w:sz w:val="22"/>
          <w:szCs w:val="22"/>
        </w:rPr>
        <w:t xml:space="preserve">De BCM-rol (opdracht 11.4) is het belangrijkste nieuwe concept van dit deel.</w:t>
      </w:r>
      <w:r>
        <w:rPr>
          <w:rFonts w:ascii="Calibri" w:cs="Calibri" w:eastAsia="Calibri" w:hAnsi="Calibri"/>
          <w:sz w:val="22"/>
          <w:szCs w:val="22"/>
        </w:rPr>
        <w:t xml:space="preserve"> Laat deelnemers eerst zelf proberen te formuleren wat er zou ontbreken zónder deze rol, vóórdat je het antwoord uit de reader voordoet.</w:t>
      </w:r>
    </w:p>
    <w:p>
      <w:pPr>
        <w:pStyle w:val="ListParagraph"/>
        <w:numPr>
          <w:ilvl w:val="0"/>
          <w:numId w:val="1"/>
        </w:numPr>
        <w:spacing w:after="100" w:line="280"/>
      </w:pPr>
      <w:r>
        <w:rPr>
          <w:rFonts w:ascii="Calibri" w:cs="Calibri" w:eastAsia="Calibri" w:hAnsi="Calibri"/>
          <w:b/>
          <w:bCs/>
          <w:sz w:val="22"/>
          <w:szCs w:val="22"/>
        </w:rPr>
        <w:t xml:space="preserve">Bij opdracht 11.2 is er bewust geen volledig uniek juist antwoord voor de "belangrijkste verschil"-kolom</w:t>
      </w:r>
      <w:r>
        <w:rPr>
          <w:rFonts w:ascii="Calibri" w:cs="Calibri" w:eastAsia="Calibri" w:hAnsi="Calibri"/>
          <w:sz w:val="22"/>
          <w:szCs w:val="22"/>
        </w:rPr>
        <w:t xml:space="preserve"> — het doel is dat deelnemers leren dat MSP-equivalenten vaak "verwant maar niet identiek" zijn, geen exacte 1-op-1 vertaling.</w:t>
      </w:r>
    </w:p>
    <w:p>
      <w:pPr>
        <w:pStyle w:val="Heading2"/>
        <w:spacing w:after="120" w:before="200"/>
      </w:pPr>
      <w:r>
        <w:rPr>
          <w:rFonts w:ascii="Georgia" w:cs="Georgia" w:eastAsia="Georgia" w:hAnsi="Georgia"/>
          <w:b/>
          <w:bCs/>
          <w:color w:val="2563A8"/>
          <w:sz w:val="28"/>
          <w:szCs w:val="28"/>
        </w:rPr>
        <w:t xml:space="preserve">Modelantwoorden — Opdracht 11.1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Geen programma — geen gedeeld doel, elk project zou net zo goed op zichzelf kunnen slagen.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Programma gerechtvaardigd — het gedeelde datamodel is precies een baat die geen van de drie projecten alleen kan realiseren.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Geen programma — gedeeld budgetjaar is geen strategische samenhang; hooguit lichte portfoliocoördinatie is hier zinvol.</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Programma gerechtvaardigd — de doorlooptijdhalvering ontstaat pas uit de samenhang van de vijf projecten (reader §8).</w:t>
      </w:r>
    </w:p>
    <w:p>
      <w:pPr>
        <w:pStyle w:val="Heading2"/>
        <w:spacing w:after="120" w:before="200"/>
      </w:pPr>
      <w:r>
        <w:rPr>
          <w:rFonts w:ascii="Georgia" w:cs="Georgia" w:eastAsia="Georgia" w:hAnsi="Georgia"/>
          <w:b/>
          <w:bCs/>
          <w:color w:val="2563A8"/>
          <w:sz w:val="28"/>
          <w:szCs w:val="28"/>
        </w:rPr>
        <w:t xml:space="preserve">Modelantwoorden — Opdracht 11.2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PRINCE2-element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MSP-equivalent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Belangrijkste verschil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Principes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Principes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niet-onderhandelbaar; MSP-principes sturen op strategische uitlijning en tempo over jaren, PRINCE2 op gerechtvaardigde investering over maanden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Practices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Themes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governance-onderwerpen; MSP-themes in de 7e editie tot één woord teruggebracht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Processen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Processen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PRINCE2 overwegend lineair; MSP grotendeels cyclisch (tranchegewijs)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Executive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Senior Responsible Owner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SRO stuurt over langere horizon en meerdere projecten tegelijk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Projectmanager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Programme Manager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Vergelijkbare dagelijkse-leidingfunctie, nu op programmaniveau</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equivalent)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Business Change Manager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Verantwoordelijk voor adoptie van capaciteit in de staande organisatie — een functie die PRINCE2 niet als aparte rol kent</w:t>
            </w:r>
          </w:p>
        </w:tc>
      </w:tr>
    </w:tbl>
    <w:p>
      <w:pPr>
        <w:pStyle w:val="Heading2"/>
        <w:spacing w:after="120" w:before="200"/>
      </w:pPr>
      <w:r>
        <w:rPr>
          <w:rFonts w:ascii="Georgia" w:cs="Georgia" w:eastAsia="Georgia" w:hAnsi="Georgia"/>
          <w:b/>
          <w:bCs/>
          <w:color w:val="2563A8"/>
          <w:sz w:val="28"/>
          <w:szCs w:val="28"/>
        </w:rPr>
        <w:t xml:space="preserve">Modelantwoorden — Opdracht 11.3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Align with priorities — genegeerd: het plan is niet meebewogen met de gewijzigde strategie.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Deal with ambiguity — genegeerd: wachten op volledige zekerheid is zelf een keuze, en meestal een slechte.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Collaborate across boundaries — hier expliciet aan de orde, ongeacht of het goed of slecht wordt uitgevoerd.</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Realize measurable benefits — genegeerd: outputs worden gevierd, baten niet gemeten.</w:t>
      </w:r>
    </w:p>
    <w:p>
      <w:pPr>
        <w:pStyle w:val="Heading2"/>
        <w:spacing w:after="120" w:before="200"/>
      </w:pPr>
      <w:r>
        <w:rPr>
          <w:rFonts w:ascii="Georgia" w:cs="Georgia" w:eastAsia="Georgia" w:hAnsi="Georgia"/>
          <w:b/>
          <w:bCs/>
          <w:color w:val="2563A8"/>
          <w:sz w:val="28"/>
          <w:szCs w:val="28"/>
        </w:rPr>
        <w:t xml:space="preserve">Modelantwoord — Opdracht 11.4</w:t>
      </w:r>
    </w:p>
    <w:p>
      <w:pPr>
        <w:spacing w:after="140" w:line="300"/>
      </w:pPr>
      <w:r>
        <w:rPr>
          <w:rFonts w:ascii="Calibri" w:cs="Calibri" w:eastAsia="Calibri" w:hAnsi="Calibri"/>
          <w:sz w:val="22"/>
          <w:szCs w:val="22"/>
        </w:rPr>
        <w:t xml:space="preserve">De PRINCE2-rollen (Executive, Senior User, Senior Supplier) zijn gericht op het opleveren van producten die aan specificaties voldoen — governance van de bouw. Geen van deze rollen is expliciet verantwoordelijk voor wat er ná oplevering gebeurt: of de organisatie het nieuwe product ook daadwerkelijk gaat gebruiken, of processen worden aangepast, of mensen worden getraind. De BCM vult precies dat gat: iemand die persoonlijk verantwoordelijk is voor de overgang van "het bestaat nu" naar "we werken er nu ook echt mee én de baten worden gerealiseerd."</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project heeft een vast, gedefinieerd eindresultaat (deel 4, focus on products) — de omgeving hoeft niet voortdurend herijkt te worden omdat de scope in de kern niet verandert. Een programma daarentegen strekt zich uit over jaren, in een omgeving die intussen verandert (nieuwe regelgeving, gewijzigde strategie, nieuwe technologie) — zonder een ingebouwd moment om de koers te herijken, zou een langlopend programma vastlopen in een verouderde aanname, precies wat principe 3 (deal with ambiguity) en principe 4 (align with priorities) proberen te voorkomen.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"Moet een programmamanager ook PRINCE2 kennen?"</w:t>
      </w:r>
      <w:r>
        <w:rPr>
          <w:rFonts w:ascii="Calibri" w:cs="Calibri" w:eastAsia="Calibri" w:hAnsi="Calibri"/>
          <w:sz w:val="22"/>
          <w:szCs w:val="22"/>
        </w:rPr>
        <w:t xml:space="preserve"> Niet strikt noodzakelijk, maar in de praktijk zeer waardevol — de projecten binnen een programma worden immers vaak zelf met PRINCE2 aangestuurd, en de programmamanager moet dat niveau kunnen aansturen zonder zich met de dagelijkse projectdetails te bemoeien.</w:t>
      </w:r>
    </w:p>
    <w:p>
      <w:pPr>
        <w:pStyle w:val="ListParagraph"/>
        <w:numPr>
          <w:ilvl w:val="0"/>
          <w:numId w:val="1"/>
        </w:numPr>
        <w:spacing w:after="100" w:line="280"/>
      </w:pPr>
      <w:r>
        <w:rPr>
          <w:rFonts w:ascii="Calibri" w:cs="Calibri" w:eastAsia="Calibri" w:hAnsi="Calibri"/>
          <w:i/>
          <w:iCs/>
          <w:sz w:val="22"/>
          <w:szCs w:val="22"/>
        </w:rPr>
        <w:t xml:space="preserve">"Is de SRO hetzelfde als de Executive van het grootste project binnen het programma?"</w:t>
      </w:r>
      <w:r>
        <w:rPr>
          <w:rFonts w:ascii="Calibri" w:cs="Calibri" w:eastAsia="Calibri" w:hAnsi="Calibri"/>
          <w:sz w:val="22"/>
          <w:szCs w:val="22"/>
        </w:rPr>
        <w:t xml:space="preserve"> Nee — de SRO is een aparte, programmabrede rol, ook al kan dezelfde persoon in de praktijk soms beide functies vervullen bij een klein programma (vergelijkbaar met tailoring van rollen in PRINCE2, deel 3, §3).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11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2026-08-17T07:40:25.166Z</dcterms:created>
  <dcterms:modified xsi:type="dcterms:W3CDTF">2026-08-17T07:40:25.166Z</dcterms:modified>
</cp:coreProperties>
</file>

<file path=docProps/custom.xml><?xml version="1.0" encoding="utf-8"?>
<Properties xmlns="http://schemas.openxmlformats.org/officeDocument/2006/custom-properties" xmlns:vt="http://schemas.openxmlformats.org/officeDocument/2006/docPropsVTypes"/>
</file>