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11 — Van project naar programma</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1. Een nieuw niveau, een nieuwe laag</w:t>
      </w:r>
    </w:p>
    <w:p>
      <w:pPr>
        <w:spacing w:after="140" w:line="300"/>
      </w:pPr>
      <w:r>
        <w:rPr>
          <w:rFonts w:ascii="Calibri" w:cs="Calibri" w:eastAsia="Calibri" w:hAnsi="Calibri"/>
          <w:sz w:val="22"/>
          <w:szCs w:val="22"/>
        </w:rPr>
        <w:t xml:space="preserve">Niveau 1 draaide om één project: de herstart van WGP 2.0. Niveau 2 verlegt de casus: WGP 2.0 staat niet langer op zichzelf, maar is één van vijf gecoördineerde initiatieven binnen het </w:t>
      </w:r>
      <w:r>
        <w:rPr>
          <w:rFonts w:ascii="Calibri" w:cs="Calibri" w:eastAsia="Calibri" w:hAnsi="Calibri"/>
          <w:b/>
          <w:bCs/>
          <w:sz w:val="22"/>
          <w:szCs w:val="22"/>
        </w:rPr>
        <w:t xml:space="preserve">Programma Mutatieplatform</w:t>
      </w:r>
      <w:r>
        <w:rPr>
          <w:rFonts w:ascii="Calibri" w:cs="Calibri" w:eastAsia="Calibri" w:hAnsi="Calibri"/>
          <w:sz w:val="22"/>
          <w:szCs w:val="22"/>
        </w:rPr>
        <w:t xml:space="preserve"> — een programma dat de hele mutatieketen bij Meridiaan moderniseert, met als doel de doorlooptijd van werkgeversmutaties te halveren. Dat doel kan geen van de vijf projecten alleen realiseren; het ontstaat pas uit hun samenhang. Precies dát is, zoals in deel 1 (§4) al werd geïntroduceerd, het onderscheid tussen een project en een programma.</w:t>
      </w:r>
    </w:p>
    <w:p>
      <w:pPr>
        <w:spacing w:after="140" w:line="300"/>
      </w:pPr>
      <w:r>
        <w:rPr>
          <w:rFonts w:ascii="Calibri" w:cs="Calibri" w:eastAsia="Calibri" w:hAnsi="Calibri"/>
          <w:sz w:val="22"/>
          <w:szCs w:val="22"/>
        </w:rPr>
        <w:t xml:space="preserve">Dit deel introduceert </w:t>
      </w:r>
      <w:r>
        <w:rPr>
          <w:rFonts w:ascii="Calibri" w:cs="Calibri" w:eastAsia="Calibri" w:hAnsi="Calibri"/>
          <w:b/>
          <w:bCs/>
          <w:sz w:val="22"/>
          <w:szCs w:val="22"/>
        </w:rPr>
        <w:t xml:space="preserve">MSP</w:t>
      </w:r>
      <w:r>
        <w:rPr>
          <w:rFonts w:ascii="Calibri" w:cs="Calibri" w:eastAsia="Calibri" w:hAnsi="Calibri"/>
          <w:sz w:val="22"/>
          <w:szCs w:val="22"/>
        </w:rPr>
        <w:t xml:space="preserve"> (Managing Successful Programmes, 5e editie), de methode die niveau 2 structureert — opgebouwd volgens hetzelfde patroon als PRINCE2: </w:t>
      </w:r>
      <w:r>
        <w:rPr>
          <w:rFonts w:ascii="Calibri" w:cs="Calibri" w:eastAsia="Calibri" w:hAnsi="Calibri"/>
          <w:b/>
          <w:bCs/>
          <w:sz w:val="22"/>
          <w:szCs w:val="22"/>
        </w:rPr>
        <w:t xml:space="preserve">principes</w:t>
      </w:r>
      <w:r>
        <w:rPr>
          <w:rFonts w:ascii="Calibri" w:cs="Calibri" w:eastAsia="Calibri" w:hAnsi="Calibri"/>
          <w:sz w:val="22"/>
          <w:szCs w:val="22"/>
        </w:rPr>
        <w:t xml:space="preserve"> (niet-onderhandelbaar), </w:t>
      </w:r>
      <w:r>
        <w:rPr>
          <w:rFonts w:ascii="Calibri" w:cs="Calibri" w:eastAsia="Calibri" w:hAnsi="Calibri"/>
          <w:b/>
          <w:bCs/>
          <w:sz w:val="22"/>
          <w:szCs w:val="22"/>
        </w:rPr>
        <w:t xml:space="preserve">themes</w:t>
      </w:r>
      <w:r>
        <w:rPr>
          <w:rFonts w:ascii="Calibri" w:cs="Calibri" w:eastAsia="Calibri" w:hAnsi="Calibri"/>
          <w:sz w:val="22"/>
          <w:szCs w:val="22"/>
        </w:rPr>
        <w:t xml:space="preserve"> (governance-onderwerpen, vergelijkbaar met PRINCE2's practices) en </w:t>
      </w:r>
      <w:r>
        <w:rPr>
          <w:rFonts w:ascii="Calibri" w:cs="Calibri" w:eastAsia="Calibri" w:hAnsi="Calibri"/>
          <w:b/>
          <w:bCs/>
          <w:sz w:val="22"/>
          <w:szCs w:val="22"/>
        </w:rPr>
        <w:t xml:space="preserve">processen</w:t>
      </w:r>
      <w:r>
        <w:rPr>
          <w:rFonts w:ascii="Calibri" w:cs="Calibri" w:eastAsia="Calibri" w:hAnsi="Calibri"/>
          <w:sz w:val="22"/>
          <w:szCs w:val="22"/>
        </w:rPr>
        <w:t xml:space="preserve"> (de levenscyclus). Wie PRINCE2 uit niveau 1 kent, herkent de architectuur onmiddellijk — de inhoud is anders, de vorm is vertrouwd.</w:t>
      </w:r>
    </w:p>
    <w:p>
      <w:pPr>
        <w:pStyle w:val="Heading2"/>
        <w:spacing w:after="120" w:before="200"/>
      </w:pPr>
      <w:r>
        <w:rPr>
          <w:rFonts w:ascii="Georgia" w:cs="Georgia" w:eastAsia="Georgia" w:hAnsi="Georgia"/>
          <w:b/>
          <w:bCs/>
          <w:color w:val="2563A8"/>
          <w:sz w:val="28"/>
          <w:szCs w:val="28"/>
        </w:rPr>
        <w:t xml:space="preserve">2. Wanneer wél, en wanneer géén programma</w:t>
      </w:r>
    </w:p>
    <w:p>
      <w:pPr>
        <w:spacing w:after="140" w:line="300"/>
      </w:pPr>
      <w:r>
        <w:rPr>
          <w:rFonts w:ascii="Calibri" w:cs="Calibri" w:eastAsia="Calibri" w:hAnsi="Calibri"/>
          <w:sz w:val="22"/>
          <w:szCs w:val="22"/>
        </w:rPr>
        <w:t xml:space="preserve">Niet elke verzameling projecten is een programma. MSP is pas de juiste keuze wanneer projecten een </w:t>
      </w:r>
      <w:r>
        <w:rPr>
          <w:rFonts w:ascii="Calibri" w:cs="Calibri" w:eastAsia="Calibri" w:hAnsi="Calibri"/>
          <w:b/>
          <w:bCs/>
          <w:sz w:val="22"/>
          <w:szCs w:val="22"/>
        </w:rPr>
        <w:t xml:space="preserve">gedeelde, strategische uitkomst</w:t>
      </w:r>
      <w:r>
        <w:rPr>
          <w:rFonts w:ascii="Calibri" w:cs="Calibri" w:eastAsia="Calibri" w:hAnsi="Calibri"/>
          <w:sz w:val="22"/>
          <w:szCs w:val="22"/>
        </w:rPr>
        <w:t xml:space="preserve"> nastreven die geen van hen individueel kan opleveren, en die gecoördineerde sturing vereist — precies zoals de doorlooptijdhalvering bij Meridiaan.</w:t>
      </w:r>
    </w:p>
    <w:p>
      <w:pPr>
        <w:spacing w:after="140" w:line="300"/>
      </w:pPr>
      <w:r>
        <w:rPr>
          <w:rFonts w:ascii="Calibri" w:cs="Calibri" w:eastAsia="Calibri" w:hAnsi="Calibri"/>
          <w:sz w:val="22"/>
          <w:szCs w:val="22"/>
        </w:rPr>
        <w:t xml:space="preserve">Wanneer dat niet het geval is — een verzameling projecten die toevallig gelijktijdig loopt, zonder onderlinge afhankelijkheid of gedeeld strategisch doel — volstaat een lichtere vorm van coördinatie (een portfolio, deel 20) zonder de overhead van een volledige programmalaag. Een programma optuigen voor projecten die net zo goed onafhankelijk van elkaar zouden kunnen slagen, is zelf een vorm van slechte tailoring: het voegt bestuurslagen toe zonder dat daar een bestuurbaar, gedeeld doel tegenover staat.</w:t>
      </w:r>
    </w:p>
    <w:p>
      <w:pPr>
        <w:spacing w:after="140" w:line="300"/>
      </w:pPr>
      <w:r>
        <w:rPr>
          <w:rFonts w:ascii="Calibri" w:cs="Calibri" w:eastAsia="Calibri" w:hAnsi="Calibri"/>
          <w:b/>
          <w:bCs/>
          <w:sz w:val="22"/>
          <w:szCs w:val="22"/>
        </w:rPr>
        <w:t xml:space="preserve">Toets, voordat je een programma inricht:</w:t>
      </w:r>
      <w:r>
        <w:rPr>
          <w:rFonts w:ascii="Calibri" w:cs="Calibri" w:eastAsia="Calibri" w:hAnsi="Calibri"/>
          <w:sz w:val="22"/>
          <w:szCs w:val="22"/>
        </w:rPr>
        <w:t xml:space="preserve"> zou het weghalen van de programmalaag een van de beoogde baten onmogelijk maken? Zo nee, dan is het geen programma maar een verzameling projecten.</w:t>
      </w:r>
    </w:p>
    <w:p>
      <w:pPr>
        <w:pStyle w:val="Heading2"/>
        <w:spacing w:after="120" w:before="200"/>
      </w:pPr>
      <w:r>
        <w:rPr>
          <w:rFonts w:ascii="Georgia" w:cs="Georgia" w:eastAsia="Georgia" w:hAnsi="Georgia"/>
          <w:b/>
          <w:bCs/>
          <w:color w:val="2563A8"/>
          <w:sz w:val="28"/>
          <w:szCs w:val="28"/>
        </w:rPr>
        <w:t xml:space="preserve">3. De drie elementen van MSP</w:t>
      </w:r>
    </w:p>
    <w:p>
      <w:pPr>
        <w:spacing w:after="140" w:line="300"/>
      </w:pPr>
      <w:r>
        <w:rPr>
          <w:rFonts w:ascii="Calibri" w:cs="Calibri" w:eastAsia="Calibri" w:hAnsi="Calibri"/>
          <w:sz w:val="22"/>
          <w:szCs w:val="22"/>
        </w:rPr>
        <w:t xml:space="preserve">Net als PRINCE2 (deel 2, §1) bestaat MSP uit drie lagen:</w:t>
      </w:r>
    </w:p>
    <w:p>
      <w:pPr>
        <w:pStyle w:val="ListParagraph"/>
        <w:numPr>
          <w:ilvl w:val="0"/>
          <w:numId w:val="1"/>
        </w:numPr>
        <w:spacing w:after="100" w:line="280"/>
      </w:pPr>
      <w:r>
        <w:rPr>
          <w:rFonts w:ascii="Calibri" w:cs="Calibri" w:eastAsia="Calibri" w:hAnsi="Calibri"/>
          <w:b/>
          <w:bCs/>
          <w:sz w:val="22"/>
          <w:szCs w:val="22"/>
        </w:rPr>
        <w:t xml:space="preserve">Zeven principes</w:t>
      </w:r>
      <w:r>
        <w:rPr>
          <w:rFonts w:ascii="Calibri" w:cs="Calibri" w:eastAsia="Calibri" w:hAnsi="Calibri"/>
          <w:sz w:val="22"/>
          <w:szCs w:val="22"/>
        </w:rPr>
        <w:t xml:space="preserve"> — universele, richtinggevende uitgangspunten, vergelijkbaar in status met PRINCE2's principes.</w:t>
      </w:r>
    </w:p>
    <w:p>
      <w:pPr>
        <w:pStyle w:val="ListParagraph"/>
        <w:numPr>
          <w:ilvl w:val="0"/>
          <w:numId w:val="1"/>
        </w:numPr>
        <w:spacing w:after="100" w:line="280"/>
      </w:pPr>
      <w:r>
        <w:rPr>
          <w:rFonts w:ascii="Calibri" w:cs="Calibri" w:eastAsia="Calibri" w:hAnsi="Calibri"/>
          <w:b/>
          <w:bCs/>
          <w:sz w:val="22"/>
          <w:szCs w:val="22"/>
        </w:rPr>
        <w:t xml:space="preserve">Zeven themes</w:t>
      </w:r>
      <w:r>
        <w:rPr>
          <w:rFonts w:ascii="Calibri" w:cs="Calibri" w:eastAsia="Calibri" w:hAnsi="Calibri"/>
          <w:sz w:val="22"/>
          <w:szCs w:val="22"/>
        </w:rPr>
        <w:t xml:space="preserve"> — governance-onderwerpen die </w:t>
      </w:r>
      <w:r>
        <w:rPr>
          <w:rFonts w:ascii="Calibri" w:cs="Calibri" w:eastAsia="Calibri" w:hAnsi="Calibri"/>
          <w:i/>
          <w:iCs/>
          <w:sz w:val="22"/>
          <w:szCs w:val="22"/>
        </w:rPr>
        <w:t xml:space="preserve">hoe</w:t>
      </w:r>
      <w:r>
        <w:rPr>
          <w:rFonts w:ascii="Calibri" w:cs="Calibri" w:eastAsia="Calibri" w:hAnsi="Calibri"/>
          <w:sz w:val="22"/>
          <w:szCs w:val="22"/>
        </w:rPr>
        <w:t xml:space="preserve"> het programma wordt bestuurd beschrijven, vergelijkbaar met PRINCE2's practices.</w:t>
      </w:r>
    </w:p>
    <w:p>
      <w:pPr>
        <w:pStyle w:val="ListParagraph"/>
        <w:numPr>
          <w:ilvl w:val="0"/>
          <w:numId w:val="1"/>
        </w:numPr>
        <w:spacing w:after="100" w:line="280"/>
      </w:pPr>
      <w:r>
        <w:rPr>
          <w:rFonts w:ascii="Calibri" w:cs="Calibri" w:eastAsia="Calibri" w:hAnsi="Calibri"/>
          <w:b/>
          <w:bCs/>
          <w:sz w:val="22"/>
          <w:szCs w:val="22"/>
        </w:rPr>
        <w:t xml:space="preserve">Zeven processen</w:t>
      </w:r>
      <w:r>
        <w:rPr>
          <w:rFonts w:ascii="Calibri" w:cs="Calibri" w:eastAsia="Calibri" w:hAnsi="Calibri"/>
          <w:sz w:val="22"/>
          <w:szCs w:val="22"/>
        </w:rPr>
        <w:t xml:space="preserve"> — de programmalevenscyclus, vergelijkbaar met PRINCE2's processen, maar met een belangrijk verschil: vijf van de zeven zijn </w:t>
      </w:r>
      <w:r>
        <w:rPr>
          <w:rFonts w:ascii="Calibri" w:cs="Calibri" w:eastAsia="Calibri" w:hAnsi="Calibri"/>
          <w:b/>
          <w:bCs/>
          <w:sz w:val="22"/>
          <w:szCs w:val="22"/>
        </w:rPr>
        <w:t xml:space="preserve">cyclisch</w:t>
      </w:r>
      <w:r>
        <w:rPr>
          <w:rFonts w:ascii="Calibri" w:cs="Calibri" w:eastAsia="Calibri" w:hAnsi="Calibri"/>
          <w:sz w:val="22"/>
          <w:szCs w:val="22"/>
        </w:rPr>
        <w:t xml:space="preserve">, omdat een programma in tranches wordt geleverd (deel 15) in plaats van in een vaste reeks fasen.</w:t>
      </w:r>
    </w:p>
    <w:p>
      <w:pPr>
        <w:pStyle w:val="Heading2"/>
        <w:spacing w:after="120" w:before="200"/>
      </w:pPr>
      <w:r>
        <w:rPr>
          <w:rFonts w:ascii="Georgia" w:cs="Georgia" w:eastAsia="Georgia" w:hAnsi="Georgia"/>
          <w:b/>
          <w:bCs/>
          <w:color w:val="2563A8"/>
          <w:sz w:val="28"/>
          <w:szCs w:val="28"/>
        </w:rPr>
        <w:t xml:space="preserve">4. De zeven principes van MSP</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Lead with purpose</w:t>
      </w:r>
      <w:r>
        <w:rPr>
          <w:rFonts w:ascii="Calibri" w:cs="Calibri" w:eastAsia="Calibri" w:hAnsi="Calibri"/>
          <w:sz w:val="22"/>
          <w:szCs w:val="22"/>
        </w:rPr>
        <w:t xml:space="preserve"> — leid met een helder, gedeeld doel; programma's hebben zichtbaar en actief leiderschap nodig, niet alleen een governancestructuur op papier.</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Collaborate across boundaries</w:t>
      </w:r>
      <w:r>
        <w:rPr>
          <w:rFonts w:ascii="Calibri" w:cs="Calibri" w:eastAsia="Calibri" w:hAnsi="Calibri"/>
          <w:sz w:val="22"/>
          <w:szCs w:val="22"/>
        </w:rPr>
        <w:t xml:space="preserve"> — richt effectieve samenwerking in over organisatorische, afdelings- of zelfs organisatiegrenzen heen, juist waar die nog niet vanzelfsprekend bestaat.</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Deal with ambiguity</w:t>
      </w:r>
      <w:r>
        <w:rPr>
          <w:rFonts w:ascii="Calibri" w:cs="Calibri" w:eastAsia="Calibri" w:hAnsi="Calibri"/>
          <w:sz w:val="22"/>
          <w:szCs w:val="22"/>
        </w:rPr>
        <w:t xml:space="preserve"> — omarm dat programma's zich afspelen in een omgeving die volatiel, onzeker, complex en ambigu is; kies bewust, met open ogen, in plaats van te doen alsof zekerheid bestaat waar die er niet is.</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Align with priorities</w:t>
      </w:r>
      <w:r>
        <w:rPr>
          <w:rFonts w:ascii="Calibri" w:cs="Calibri" w:eastAsia="Calibri" w:hAnsi="Calibri"/>
          <w:sz w:val="22"/>
          <w:szCs w:val="22"/>
        </w:rPr>
        <w:t xml:space="preserve"> — houd het programma voortdurend uitgelijnd met de actuele organisatiestrategie — strategie verandert, en het programma moet meebewegen, niet vasthouden aan een verouderde aanname.</w:t>
      </w:r>
    </w:p>
    <w:p>
      <w:pPr>
        <w:spacing w:after="120" w:line="280"/>
        <w:ind w:left="360" w:hanging="360"/>
      </w:pPr>
      <w:r>
        <w:rPr>
          <w:rFonts w:ascii="Calibri" w:cs="Calibri" w:eastAsia="Calibri" w:hAnsi="Calibri"/>
          <w:b/>
          <w:bCs/>
          <w:color w:val="14213D"/>
          <w:sz w:val="22"/>
          <w:szCs w:val="22"/>
        </w:rPr>
        <w:t xml:space="preserve">5. </w:t>
      </w:r>
      <w:r>
        <w:rPr>
          <w:rFonts w:ascii="Calibri" w:cs="Calibri" w:eastAsia="Calibri" w:hAnsi="Calibri"/>
          <w:b/>
          <w:bCs/>
          <w:sz w:val="22"/>
          <w:szCs w:val="22"/>
        </w:rPr>
        <w:t xml:space="preserve">Deploy diverse skills</w:t>
      </w:r>
      <w:r>
        <w:rPr>
          <w:rFonts w:ascii="Calibri" w:cs="Calibri" w:eastAsia="Calibri" w:hAnsi="Calibri"/>
          <w:sz w:val="22"/>
          <w:szCs w:val="22"/>
        </w:rPr>
        <w:t xml:space="preserve"> — zet bewust een brede mix van vaardigheden in — technisch, gedragsmatig, contextueel — in plaats van te vertrouwen op één type expertise.</w:t>
      </w:r>
    </w:p>
    <w:p>
      <w:pPr>
        <w:spacing w:after="120" w:line="280"/>
        <w:ind w:left="360" w:hanging="360"/>
      </w:pPr>
      <w:r>
        <w:rPr>
          <w:rFonts w:ascii="Calibri" w:cs="Calibri" w:eastAsia="Calibri" w:hAnsi="Calibri"/>
          <w:b/>
          <w:bCs/>
          <w:color w:val="14213D"/>
          <w:sz w:val="22"/>
          <w:szCs w:val="22"/>
        </w:rPr>
        <w:t xml:space="preserve">6. </w:t>
      </w:r>
      <w:r>
        <w:rPr>
          <w:rFonts w:ascii="Calibri" w:cs="Calibri" w:eastAsia="Calibri" w:hAnsi="Calibri"/>
          <w:b/>
          <w:bCs/>
          <w:sz w:val="22"/>
          <w:szCs w:val="22"/>
        </w:rPr>
        <w:t xml:space="preserve">Realize measurable benefits</w:t>
      </w:r>
      <w:r>
        <w:rPr>
          <w:rFonts w:ascii="Calibri" w:cs="Calibri" w:eastAsia="Calibri" w:hAnsi="Calibri"/>
          <w:sz w:val="22"/>
          <w:szCs w:val="22"/>
        </w:rPr>
        <w:t xml:space="preserve"> — het bestaansrecht van een programma ligt in aantoonbare, gemeten baten, niet in het opleveren van producten op zich.</w:t>
      </w:r>
    </w:p>
    <w:p>
      <w:pPr>
        <w:spacing w:after="120" w:line="280"/>
        <w:ind w:left="360" w:hanging="360"/>
      </w:pPr>
      <w:r>
        <w:rPr>
          <w:rFonts w:ascii="Calibri" w:cs="Calibri" w:eastAsia="Calibri" w:hAnsi="Calibri"/>
          <w:b/>
          <w:bCs/>
          <w:color w:val="14213D"/>
          <w:sz w:val="22"/>
          <w:szCs w:val="22"/>
        </w:rPr>
        <w:t xml:space="preserve">7. </w:t>
      </w:r>
      <w:r>
        <w:rPr>
          <w:rFonts w:ascii="Calibri" w:cs="Calibri" w:eastAsia="Calibri" w:hAnsi="Calibri"/>
          <w:b/>
          <w:bCs/>
          <w:sz w:val="22"/>
          <w:szCs w:val="22"/>
        </w:rPr>
        <w:t xml:space="preserve">Bring pace and value</w:t>
      </w:r>
      <w:r>
        <w:rPr>
          <w:rFonts w:ascii="Calibri" w:cs="Calibri" w:eastAsia="Calibri" w:hAnsi="Calibri"/>
          <w:sz w:val="22"/>
          <w:szCs w:val="22"/>
        </w:rPr>
        <w:t xml:space="preserve"> — lever met tempo én waarde tegelijk; een programma dat traag maar grondig is, verliest evenveel relevantie als een programma dat snel maar inhoudsloos levert.</w:t>
      </w:r>
    </w:p>
    <w:p>
      <w:pPr>
        <w:spacing w:after="140" w:line="300"/>
      </w:pPr>
      <w:r>
        <w:rPr>
          <w:rFonts w:ascii="Calibri" w:cs="Calibri" w:eastAsia="Calibri" w:hAnsi="Calibri"/>
          <w:sz w:val="22"/>
          <w:szCs w:val="22"/>
        </w:rPr>
        <w:t xml:space="preserve">Vergelijk dit met PRINCE2's zeven principes (deel 2): sommige klinken verwant (</w:t>
      </w:r>
      <w:r>
        <w:rPr>
          <w:rFonts w:ascii="Calibri" w:cs="Calibri" w:eastAsia="Calibri" w:hAnsi="Calibri"/>
          <w:i/>
          <w:iCs/>
          <w:sz w:val="22"/>
          <w:szCs w:val="22"/>
        </w:rPr>
        <w:t xml:space="preserve">realize measurable benefits</w:t>
      </w:r>
      <w:r>
        <w:rPr>
          <w:rFonts w:ascii="Calibri" w:cs="Calibri" w:eastAsia="Calibri" w:hAnsi="Calibri"/>
          <w:sz w:val="22"/>
          <w:szCs w:val="22"/>
        </w:rPr>
        <w:t xml:space="preserve"> echoot </w:t>
      </w:r>
      <w:r>
        <w:rPr>
          <w:rFonts w:ascii="Calibri" w:cs="Calibri" w:eastAsia="Calibri" w:hAnsi="Calibri"/>
          <w:i/>
          <w:iCs/>
          <w:sz w:val="22"/>
          <w:szCs w:val="22"/>
        </w:rPr>
        <w:t xml:space="preserve">ensure continued business justification</w:t>
      </w:r>
      <w:r>
        <w:rPr>
          <w:rFonts w:ascii="Calibri" w:cs="Calibri" w:eastAsia="Calibri" w:hAnsi="Calibri"/>
          <w:sz w:val="22"/>
          <w:szCs w:val="22"/>
        </w:rPr>
        <w:t xml:space="preserve">), maar de nadruk ligt hoger in de organisatie en verder vooruit in de tijd — een programma stuurt op strategische uitlijning en tempo over jaren, een project op gerechtvaardigde investering over maanden.</w:t>
      </w:r>
    </w:p>
    <w:p>
      <w:pPr>
        <w:pStyle w:val="Heading2"/>
        <w:spacing w:after="120" w:before="200"/>
      </w:pPr>
      <w:r>
        <w:rPr>
          <w:rFonts w:ascii="Georgia" w:cs="Georgia" w:eastAsia="Georgia" w:hAnsi="Georgia"/>
          <w:b/>
          <w:bCs/>
          <w:color w:val="2563A8"/>
          <w:sz w:val="28"/>
          <w:szCs w:val="28"/>
        </w:rPr>
        <w:t xml:space="preserve">5. De zeven themes van MSP</w:t>
      </w:r>
    </w:p>
    <w:p>
      <w:pPr>
        <w:spacing w:after="140" w:line="300"/>
      </w:pPr>
      <w:r>
        <w:rPr>
          <w:rFonts w:ascii="Calibri" w:cs="Calibri" w:eastAsia="Calibri" w:hAnsi="Calibri"/>
          <w:sz w:val="22"/>
          <w:szCs w:val="22"/>
        </w:rPr>
        <w:t xml:space="preserve">Elk in de zevende editie teruggebracht tot één woord — verdiept in latere delen, hier als overzicht:</w:t>
      </w:r>
    </w:p>
    <w:p>
      <w:pPr>
        <w:pStyle w:val="ListParagraph"/>
        <w:numPr>
          <w:ilvl w:val="0"/>
          <w:numId w:val="1"/>
        </w:numPr>
        <w:spacing w:after="100" w:line="280"/>
      </w:pPr>
      <w:r>
        <w:rPr>
          <w:rFonts w:ascii="Calibri" w:cs="Calibri" w:eastAsia="Calibri" w:hAnsi="Calibri"/>
          <w:b/>
          <w:bCs/>
          <w:sz w:val="22"/>
          <w:szCs w:val="22"/>
        </w:rPr>
        <w:t xml:space="preserve">Organization</w:t>
      </w:r>
      <w:r>
        <w:rPr>
          <w:rFonts w:ascii="Calibri" w:cs="Calibri" w:eastAsia="Calibri" w:hAnsi="Calibri"/>
          <w:sz w:val="22"/>
          <w:szCs w:val="22"/>
        </w:rPr>
        <w:t xml:space="preserve"> — governancestructuur en rollen (§6 hieronder).</w:t>
      </w:r>
    </w:p>
    <w:p>
      <w:pPr>
        <w:pStyle w:val="ListParagraph"/>
        <w:numPr>
          <w:ilvl w:val="0"/>
          <w:numId w:val="1"/>
        </w:numPr>
        <w:spacing w:after="100" w:line="280"/>
      </w:pPr>
      <w:r>
        <w:rPr>
          <w:rFonts w:ascii="Calibri" w:cs="Calibri" w:eastAsia="Calibri" w:hAnsi="Calibri"/>
          <w:b/>
          <w:bCs/>
          <w:sz w:val="22"/>
          <w:szCs w:val="22"/>
        </w:rPr>
        <w:t xml:space="preserve">Design</w:t>
      </w:r>
      <w:r>
        <w:rPr>
          <w:rFonts w:ascii="Calibri" w:cs="Calibri" w:eastAsia="Calibri" w:hAnsi="Calibri"/>
          <w:sz w:val="22"/>
          <w:szCs w:val="22"/>
        </w:rPr>
        <w:t xml:space="preserve"> — de visie en het beoogde toekomstbeeld (target operating model), voorheen "blueprint" genoemd.</w:t>
      </w:r>
    </w:p>
    <w:p>
      <w:pPr>
        <w:pStyle w:val="ListParagraph"/>
        <w:numPr>
          <w:ilvl w:val="0"/>
          <w:numId w:val="1"/>
        </w:numPr>
        <w:spacing w:after="100" w:line="280"/>
      </w:pPr>
      <w:r>
        <w:rPr>
          <w:rFonts w:ascii="Calibri" w:cs="Calibri" w:eastAsia="Calibri" w:hAnsi="Calibri"/>
          <w:b/>
          <w:bCs/>
          <w:sz w:val="22"/>
          <w:szCs w:val="22"/>
        </w:rPr>
        <w:t xml:space="preserve">Justification</w:t>
      </w:r>
      <w:r>
        <w:rPr>
          <w:rFonts w:ascii="Calibri" w:cs="Calibri" w:eastAsia="Calibri" w:hAnsi="Calibri"/>
          <w:sz w:val="22"/>
          <w:szCs w:val="22"/>
        </w:rPr>
        <w:t xml:space="preserve"> — de programmatische business case (deel 13).</w:t>
      </w:r>
    </w:p>
    <w:p>
      <w:pPr>
        <w:pStyle w:val="ListParagraph"/>
        <w:numPr>
          <w:ilvl w:val="0"/>
          <w:numId w:val="1"/>
        </w:numPr>
        <w:spacing w:after="100" w:line="280"/>
      </w:pPr>
      <w:r>
        <w:rPr>
          <w:rFonts w:ascii="Calibri" w:cs="Calibri" w:eastAsia="Calibri" w:hAnsi="Calibri"/>
          <w:b/>
          <w:bCs/>
          <w:sz w:val="22"/>
          <w:szCs w:val="22"/>
        </w:rPr>
        <w:t xml:space="preserve">Structure</w:t>
      </w:r>
      <w:r>
        <w:rPr>
          <w:rFonts w:ascii="Calibri" w:cs="Calibri" w:eastAsia="Calibri" w:hAnsi="Calibri"/>
          <w:sz w:val="22"/>
          <w:szCs w:val="22"/>
        </w:rPr>
        <w:t xml:space="preserve"> — planning, tranches en beheersing (deel 15).</w:t>
      </w:r>
    </w:p>
    <w:p>
      <w:pPr>
        <w:pStyle w:val="ListParagraph"/>
        <w:numPr>
          <w:ilvl w:val="0"/>
          <w:numId w:val="1"/>
        </w:numPr>
        <w:spacing w:after="100" w:line="280"/>
      </w:pPr>
      <w:r>
        <w:rPr>
          <w:rFonts w:ascii="Calibri" w:cs="Calibri" w:eastAsia="Calibri" w:hAnsi="Calibri"/>
          <w:b/>
          <w:bCs/>
          <w:sz w:val="22"/>
          <w:szCs w:val="22"/>
        </w:rPr>
        <w:t xml:space="preserve">Knowledge</w:t>
      </w:r>
      <w:r>
        <w:rPr>
          <w:rFonts w:ascii="Calibri" w:cs="Calibri" w:eastAsia="Calibri" w:hAnsi="Calibri"/>
          <w:sz w:val="22"/>
          <w:szCs w:val="22"/>
        </w:rPr>
        <w:t xml:space="preserve"> — kennis, leren en (wat in de vorige editie een apart principe was) leren van ervaring, nu hier ondergebracht.</w:t>
      </w:r>
    </w:p>
    <w:p>
      <w:pPr>
        <w:pStyle w:val="ListParagraph"/>
        <w:numPr>
          <w:ilvl w:val="0"/>
          <w:numId w:val="1"/>
        </w:numPr>
        <w:spacing w:after="100" w:line="280"/>
      </w:pPr>
      <w:r>
        <w:rPr>
          <w:rFonts w:ascii="Calibri" w:cs="Calibri" w:eastAsia="Calibri" w:hAnsi="Calibri"/>
          <w:b/>
          <w:bCs/>
          <w:sz w:val="22"/>
          <w:szCs w:val="22"/>
        </w:rPr>
        <w:t xml:space="preserve">Assurance</w:t>
      </w:r>
      <w:r>
        <w:rPr>
          <w:rFonts w:ascii="Calibri" w:cs="Calibri" w:eastAsia="Calibri" w:hAnsi="Calibri"/>
          <w:sz w:val="22"/>
          <w:szCs w:val="22"/>
        </w:rPr>
        <w:t xml:space="preserve"> — onafhankelijke toetsing dat het programma op koers ligt.</w:t>
      </w:r>
    </w:p>
    <w:p>
      <w:pPr>
        <w:pStyle w:val="ListParagraph"/>
        <w:numPr>
          <w:ilvl w:val="0"/>
          <w:numId w:val="1"/>
        </w:numPr>
        <w:spacing w:after="100" w:line="280"/>
      </w:pPr>
      <w:r>
        <w:rPr>
          <w:rFonts w:ascii="Calibri" w:cs="Calibri" w:eastAsia="Calibri" w:hAnsi="Calibri"/>
          <w:b/>
          <w:bCs/>
          <w:sz w:val="22"/>
          <w:szCs w:val="22"/>
        </w:rPr>
        <w:t xml:space="preserve">Decisions</w:t>
      </w:r>
      <w:r>
        <w:rPr>
          <w:rFonts w:ascii="Calibri" w:cs="Calibri" w:eastAsia="Calibri" w:hAnsi="Calibri"/>
          <w:sz w:val="22"/>
          <w:szCs w:val="22"/>
        </w:rPr>
        <w:t xml:space="preserve"> — hoe en door wie besluiten worden genomen — inclusief risico- en issue-afhandeling op programmaniveau.</w:t>
      </w:r>
    </w:p>
    <w:p>
      <w:pPr>
        <w:pStyle w:val="Heading2"/>
        <w:spacing w:after="120" w:before="200"/>
      </w:pPr>
      <w:r>
        <w:rPr>
          <w:rFonts w:ascii="Georgia" w:cs="Georgia" w:eastAsia="Georgia" w:hAnsi="Georgia"/>
          <w:b/>
          <w:bCs/>
          <w:color w:val="2563A8"/>
          <w:sz w:val="28"/>
          <w:szCs w:val="28"/>
        </w:rPr>
        <w:t xml:space="preserve">6. Programma-organisatie: rollen die anders heten, functies die verwant zijn</w:t>
      </w:r>
    </w:p>
    <w:p>
      <w:pPr>
        <w:pStyle w:val="ListParagraph"/>
        <w:numPr>
          <w:ilvl w:val="0"/>
          <w:numId w:val="1"/>
        </w:numPr>
        <w:spacing w:after="100" w:line="280"/>
      </w:pPr>
      <w:r>
        <w:rPr>
          <w:rFonts w:ascii="Calibri" w:cs="Calibri" w:eastAsia="Calibri" w:hAnsi="Calibri"/>
          <w:b/>
          <w:bCs/>
          <w:sz w:val="22"/>
          <w:szCs w:val="22"/>
        </w:rPr>
        <w:t xml:space="preserve">Sponsoring group</w:t>
      </w:r>
      <w:r>
        <w:rPr>
          <w:rFonts w:ascii="Calibri" w:cs="Calibri" w:eastAsia="Calibri" w:hAnsi="Calibri"/>
          <w:sz w:val="22"/>
          <w:szCs w:val="22"/>
        </w:rPr>
        <w:t xml:space="preserve"> — de laag boven het programma: senior leiders die verantwoording afleggen aan de bestuurders van de investerende organisatie(s) — vergelijkbaar met het corporate/programmaniveau uit PRINCE2's Organizing-practice (deel 3, §3).</w:t>
      </w:r>
    </w:p>
    <w:p>
      <w:pPr>
        <w:pStyle w:val="ListParagraph"/>
        <w:numPr>
          <w:ilvl w:val="0"/>
          <w:numId w:val="1"/>
        </w:numPr>
        <w:spacing w:after="100" w:line="280"/>
      </w:pPr>
      <w:r>
        <w:rPr>
          <w:rFonts w:ascii="Calibri" w:cs="Calibri" w:eastAsia="Calibri" w:hAnsi="Calibri"/>
          <w:b/>
          <w:bCs/>
          <w:sz w:val="22"/>
          <w:szCs w:val="22"/>
        </w:rPr>
        <w:t xml:space="preserve">Programme Board</w:t>
      </w:r>
      <w:r>
        <w:rPr>
          <w:rFonts w:ascii="Calibri" w:cs="Calibri" w:eastAsia="Calibri" w:hAnsi="Calibri"/>
          <w:sz w:val="22"/>
          <w:szCs w:val="22"/>
        </w:rPr>
        <w:t xml:space="preserve">, met daarin minimaal:</w:t>
      </w:r>
    </w:p>
    <w:p>
      <w:pPr>
        <w:pStyle w:val="ListParagraph"/>
        <w:numPr>
          <w:ilvl w:val="0"/>
          <w:numId w:val="1"/>
        </w:numPr>
        <w:spacing w:after="100" w:line="280"/>
      </w:pPr>
      <w:r>
        <w:rPr>
          <w:rFonts w:ascii="Calibri" w:cs="Calibri" w:eastAsia="Calibri" w:hAnsi="Calibri"/>
          <w:b/>
          <w:bCs/>
          <w:sz w:val="22"/>
          <w:szCs w:val="22"/>
        </w:rPr>
        <w:t xml:space="preserve">Senior Responsible Owner (SRO)</w:t>
      </w:r>
      <w:r>
        <w:rPr>
          <w:rFonts w:ascii="Calibri" w:cs="Calibri" w:eastAsia="Calibri" w:hAnsi="Calibri"/>
          <w:sz w:val="22"/>
          <w:szCs w:val="22"/>
        </w:rPr>
        <w:t xml:space="preserve"> — eindverantwoordelijk voor het programma, vergelijkbaar met (maar niet identiek aan) PRINCE2's Executive: de SRO stuurt over een langere horizon en meerdere projecten tegelijk.</w:t>
      </w:r>
    </w:p>
    <w:p>
      <w:pPr>
        <w:pStyle w:val="ListParagraph"/>
        <w:numPr>
          <w:ilvl w:val="0"/>
          <w:numId w:val="1"/>
        </w:numPr>
        <w:spacing w:after="100" w:line="280"/>
      </w:pPr>
      <w:r>
        <w:rPr>
          <w:rFonts w:ascii="Calibri" w:cs="Calibri" w:eastAsia="Calibri" w:hAnsi="Calibri"/>
          <w:b/>
          <w:bCs/>
          <w:sz w:val="22"/>
          <w:szCs w:val="22"/>
        </w:rPr>
        <w:t xml:space="preserve">Programme Manager</w:t>
      </w:r>
      <w:r>
        <w:rPr>
          <w:rFonts w:ascii="Calibri" w:cs="Calibri" w:eastAsia="Calibri" w:hAnsi="Calibri"/>
          <w:sz w:val="22"/>
          <w:szCs w:val="22"/>
        </w:rPr>
        <w:t xml:space="preserve"> — dagelijkse leiding van het programma namens de SRO, vergelijkbaar met PRINCE2's projectmanager, maar dan op programmaniveau.</w:t>
      </w:r>
    </w:p>
    <w:p>
      <w:pPr>
        <w:pStyle w:val="ListParagraph"/>
        <w:numPr>
          <w:ilvl w:val="0"/>
          <w:numId w:val="1"/>
        </w:numPr>
        <w:spacing w:after="100" w:line="280"/>
      </w:pPr>
      <w:r>
        <w:rPr>
          <w:rFonts w:ascii="Calibri" w:cs="Calibri" w:eastAsia="Calibri" w:hAnsi="Calibri"/>
          <w:b/>
          <w:bCs/>
          <w:sz w:val="22"/>
          <w:szCs w:val="22"/>
        </w:rPr>
        <w:t xml:space="preserve">Business Change Manager (BCM)</w:t>
      </w:r>
      <w:r>
        <w:rPr>
          <w:rFonts w:ascii="Calibri" w:cs="Calibri" w:eastAsia="Calibri" w:hAnsi="Calibri"/>
          <w:sz w:val="22"/>
          <w:szCs w:val="22"/>
        </w:rPr>
        <w:t xml:space="preserve"> — een rol die PRINCE2 niet kent: verantwoordelijk voor de daadwerkelijke adoptie van nieuwe capabilities in de organisatie namens de SRO. Dit is precies de rol die borgt dat baten niet alleen technisch mogelijk worden gemaakt, maar ook daadwerkelijk in de bedrijfsvoering landen.</w:t>
      </w:r>
    </w:p>
    <w:p>
      <w:pPr>
        <w:pStyle w:val="ListParagraph"/>
        <w:numPr>
          <w:ilvl w:val="0"/>
          <w:numId w:val="1"/>
        </w:numPr>
        <w:spacing w:after="100" w:line="280"/>
      </w:pPr>
      <w:r>
        <w:rPr>
          <w:rFonts w:ascii="Calibri" w:cs="Calibri" w:eastAsia="Calibri" w:hAnsi="Calibri"/>
          <w:b/>
          <w:bCs/>
          <w:sz w:val="22"/>
          <w:szCs w:val="22"/>
        </w:rPr>
        <w:t xml:space="preserve">Programme Office</w:t>
      </w:r>
      <w:r>
        <w:rPr>
          <w:rFonts w:ascii="Calibri" w:cs="Calibri" w:eastAsia="Calibri" w:hAnsi="Calibri"/>
          <w:sz w:val="22"/>
          <w:szCs w:val="22"/>
        </w:rPr>
        <w:t xml:space="preserve"> — ondersteunende functie voor beheersing en capaciteit, vergelijkbaar met Project Support maar op programmaniveau.</w:t>
      </w:r>
    </w:p>
    <w:p>
      <w:pPr>
        <w:spacing w:after="140" w:line="300"/>
      </w:pPr>
      <w:r>
        <w:rPr>
          <w:rFonts w:ascii="Calibri" w:cs="Calibri" w:eastAsia="Calibri" w:hAnsi="Calibri"/>
          <w:sz w:val="22"/>
          <w:szCs w:val="22"/>
        </w:rPr>
        <w:t xml:space="preserve">De BCM-rol verdient extra aandacht: waar PRINCE2 (deel 3) drie belangen kent — business, gebruiker, leverancier — voegt MSP een rol toe die specifiek verantwoordelijk is voor de </w:t>
      </w:r>
      <w:r>
        <w:rPr>
          <w:rFonts w:ascii="Calibri" w:cs="Calibri" w:eastAsia="Calibri" w:hAnsi="Calibri"/>
          <w:b/>
          <w:bCs/>
          <w:sz w:val="22"/>
          <w:szCs w:val="22"/>
        </w:rPr>
        <w:t xml:space="preserve">overgang</w:t>
      </w:r>
      <w:r>
        <w:rPr>
          <w:rFonts w:ascii="Calibri" w:cs="Calibri" w:eastAsia="Calibri" w:hAnsi="Calibri"/>
          <w:sz w:val="22"/>
          <w:szCs w:val="22"/>
        </w:rPr>
        <w:t xml:space="preserve"> van opgeleverde capaciteit naar daadwerkelijk gebruik. Dit sluit rechtstreeks aan bij bevinding 7 uit niveau 1 (geen zicht op baten): de BCM bestaat om precies dát gat te dichten.</w:t>
      </w:r>
    </w:p>
    <w:p>
      <w:pPr>
        <w:pStyle w:val="Heading2"/>
        <w:spacing w:after="120" w:before="200"/>
      </w:pPr>
      <w:r>
        <w:rPr>
          <w:rFonts w:ascii="Georgia" w:cs="Georgia" w:eastAsia="Georgia" w:hAnsi="Georgia"/>
          <w:b/>
          <w:bCs/>
          <w:color w:val="2563A8"/>
          <w:sz w:val="28"/>
          <w:szCs w:val="28"/>
        </w:rPr>
        <w:t xml:space="preserve">7. De zeven processen: de programmalevenscyclus</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Identify the Programme</w:t>
      </w:r>
      <w:r>
        <w:rPr>
          <w:rFonts w:ascii="Calibri" w:cs="Calibri" w:eastAsia="Calibri" w:hAnsi="Calibri"/>
          <w:sz w:val="22"/>
          <w:szCs w:val="22"/>
        </w:rPr>
        <w:t xml:space="preserve"> — eenmalig, getriggerd door het programmamandaat; toetst of het idee de moeite van verdere uitwerking waard is (vergelijkbaar met PRINCE2's Starting up a Project, deel 7).</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Design the Outcomes</w:t>
      </w:r>
      <w:r>
        <w:rPr>
          <w:rFonts w:ascii="Calibri" w:cs="Calibri" w:eastAsia="Calibri" w:hAnsi="Calibri"/>
          <w:sz w:val="22"/>
          <w:szCs w:val="22"/>
        </w:rPr>
        <w:t xml:space="preserve"> — cyclisch: visie, baten, risico's en het target operating model worden uitgewerkt.</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Plan Progressive Delivery</w:t>
      </w:r>
      <w:r>
        <w:rPr>
          <w:rFonts w:ascii="Calibri" w:cs="Calibri" w:eastAsia="Calibri" w:hAnsi="Calibri"/>
          <w:sz w:val="22"/>
          <w:szCs w:val="22"/>
        </w:rPr>
        <w:t xml:space="preserve"> — cyclisch: de blueprint wordt vertaald naar een concreet, tranche-gewijs opleverpad (deel 15).</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Deliver the Capabilities</w:t>
      </w:r>
      <w:r>
        <w:rPr>
          <w:rFonts w:ascii="Calibri" w:cs="Calibri" w:eastAsia="Calibri" w:hAnsi="Calibri"/>
          <w:sz w:val="22"/>
          <w:szCs w:val="22"/>
        </w:rPr>
        <w:t xml:space="preserve"> — cyclisch: de projecten binnen de huidige tranche worden daadwerkelijk uitgevoerd.</w:t>
      </w:r>
    </w:p>
    <w:p>
      <w:pPr>
        <w:spacing w:after="120" w:line="280"/>
        <w:ind w:left="360" w:hanging="360"/>
      </w:pPr>
      <w:r>
        <w:rPr>
          <w:rFonts w:ascii="Calibri" w:cs="Calibri" w:eastAsia="Calibri" w:hAnsi="Calibri"/>
          <w:b/>
          <w:bCs/>
          <w:color w:val="14213D"/>
          <w:sz w:val="22"/>
          <w:szCs w:val="22"/>
        </w:rPr>
        <w:t xml:space="preserve">5. </w:t>
      </w:r>
      <w:r>
        <w:rPr>
          <w:rFonts w:ascii="Calibri" w:cs="Calibri" w:eastAsia="Calibri" w:hAnsi="Calibri"/>
          <w:b/>
          <w:bCs/>
          <w:sz w:val="22"/>
          <w:szCs w:val="22"/>
        </w:rPr>
        <w:t xml:space="preserve">Embed the Outcomes</w:t>
      </w:r>
      <w:r>
        <w:rPr>
          <w:rFonts w:ascii="Calibri" w:cs="Calibri" w:eastAsia="Calibri" w:hAnsi="Calibri"/>
          <w:sz w:val="22"/>
          <w:szCs w:val="22"/>
        </w:rPr>
        <w:t xml:space="preserve"> — cyclisch: opgeleverde capaciteiten worden geborgd in de staande organisatie — het domein van de BCM.</w:t>
      </w:r>
    </w:p>
    <w:p>
      <w:pPr>
        <w:spacing w:after="120" w:line="280"/>
        <w:ind w:left="360" w:hanging="360"/>
      </w:pPr>
      <w:r>
        <w:rPr>
          <w:rFonts w:ascii="Calibri" w:cs="Calibri" w:eastAsia="Calibri" w:hAnsi="Calibri"/>
          <w:b/>
          <w:bCs/>
          <w:color w:val="14213D"/>
          <w:sz w:val="22"/>
          <w:szCs w:val="22"/>
        </w:rPr>
        <w:t xml:space="preserve">6. </w:t>
      </w:r>
      <w:r>
        <w:rPr>
          <w:rFonts w:ascii="Calibri" w:cs="Calibri" w:eastAsia="Calibri" w:hAnsi="Calibri"/>
          <w:b/>
          <w:bCs/>
          <w:sz w:val="22"/>
          <w:szCs w:val="22"/>
        </w:rPr>
        <w:t xml:space="preserve">Evaluate New Information</w:t>
      </w:r>
      <w:r>
        <w:rPr>
          <w:rFonts w:ascii="Calibri" w:cs="Calibri" w:eastAsia="Calibri" w:hAnsi="Calibri"/>
          <w:sz w:val="22"/>
          <w:szCs w:val="22"/>
        </w:rPr>
        <w:t xml:space="preserve"> — cyclisch: de omgeving wordt periodiek herbeoordeeld, en het programma past zich aan.</w:t>
      </w:r>
    </w:p>
    <w:p>
      <w:pPr>
        <w:spacing w:after="120" w:line="280"/>
        <w:ind w:left="360" w:hanging="360"/>
      </w:pPr>
      <w:r>
        <w:rPr>
          <w:rFonts w:ascii="Calibri" w:cs="Calibri" w:eastAsia="Calibri" w:hAnsi="Calibri"/>
          <w:b/>
          <w:bCs/>
          <w:color w:val="14213D"/>
          <w:sz w:val="22"/>
          <w:szCs w:val="22"/>
        </w:rPr>
        <w:t xml:space="preserve">7. </w:t>
      </w:r>
      <w:r>
        <w:rPr>
          <w:rFonts w:ascii="Calibri" w:cs="Calibri" w:eastAsia="Calibri" w:hAnsi="Calibri"/>
          <w:b/>
          <w:bCs/>
          <w:sz w:val="22"/>
          <w:szCs w:val="22"/>
        </w:rPr>
        <w:t xml:space="preserve">Close the Programme</w:t>
      </w:r>
      <w:r>
        <w:rPr>
          <w:rFonts w:ascii="Calibri" w:cs="Calibri" w:eastAsia="Calibri" w:hAnsi="Calibri"/>
          <w:sz w:val="22"/>
          <w:szCs w:val="22"/>
        </w:rPr>
        <w:t xml:space="preserve"> — eenmalig, aan het einde.</w:t>
      </w:r>
    </w:p>
    <w:p>
      <w:pPr>
        <w:spacing w:after="140" w:line="300"/>
      </w:pPr>
      <w:r>
        <w:rPr>
          <w:rFonts w:ascii="Calibri" w:cs="Calibri" w:eastAsia="Calibri" w:hAnsi="Calibri"/>
          <w:sz w:val="22"/>
          <w:szCs w:val="22"/>
        </w:rPr>
        <w:t xml:space="preserve">Processen 2 tot en met 6 herhalen zich per tranche; dit vervangt wat in de vorige editie van MSP nog "managing the tranche" heette als één geheel. Dit cyclische karakter is een fundamenteel verschil met PRINCE2's overwegend lineaire fasenstructuur (deel 7-8) en sluit aan bij principe 3 (deal with ambiguity): een programma herijkt zichzelf voortdurend, in plaats van één keer een plan te maken en dat onveranderd uit te voeren.</w:t>
      </w:r>
    </w:p>
    <w:p>
      <w:pPr>
        <w:pStyle w:val="Heading2"/>
        <w:spacing w:after="120" w:before="200"/>
      </w:pPr>
      <w:r>
        <w:rPr>
          <w:rFonts w:ascii="Georgia" w:cs="Georgia" w:eastAsia="Georgia" w:hAnsi="Georgia"/>
          <w:b/>
          <w:bCs/>
          <w:color w:val="2563A8"/>
          <w:sz w:val="28"/>
          <w:szCs w:val="28"/>
        </w:rPr>
        <w:t xml:space="preserve">8. De casus: het Programma Mutatieplatform</w:t>
      </w:r>
    </w:p>
    <w:p>
      <w:pPr>
        <w:spacing w:after="140" w:line="300"/>
      </w:pPr>
      <w:r>
        <w:rPr>
          <w:rFonts w:ascii="Calibri" w:cs="Calibri" w:eastAsia="Calibri" w:hAnsi="Calibri"/>
          <w:sz w:val="22"/>
          <w:szCs w:val="22"/>
        </w:rPr>
        <w:t xml:space="preserve">Het programma coördineert vijf initiatieven, waaronder de herstart van WGP 2.0 uit niveau 1:</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sz w:val="22"/>
          <w:szCs w:val="22"/>
        </w:rPr>
        <w:t xml:space="preserve">WGP 2.0 — het werkgeversportaal zelf.</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sz w:val="22"/>
          <w:szCs w:val="22"/>
        </w:rPr>
        <w:t xml:space="preserve">Automatisering van interne mutatieverwerking bij Klantcontact.</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sz w:val="22"/>
          <w:szCs w:val="22"/>
        </w:rPr>
        <w:t xml:space="preserve">Een nieuwe koppeling met het kernsysteem, gedeeld door meerdere projecten.</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sz w:val="22"/>
          <w:szCs w:val="22"/>
        </w:rPr>
        <w:t xml:space="preserve">Herziening van validatieregels en datakwaliteit.</w:t>
      </w:r>
    </w:p>
    <w:p>
      <w:pPr>
        <w:spacing w:after="120" w:line="280"/>
        <w:ind w:left="360" w:hanging="360"/>
      </w:pPr>
      <w:r>
        <w:rPr>
          <w:rFonts w:ascii="Calibri" w:cs="Calibri" w:eastAsia="Calibri" w:hAnsi="Calibri"/>
          <w:b/>
          <w:bCs/>
          <w:color w:val="14213D"/>
          <w:sz w:val="22"/>
          <w:szCs w:val="22"/>
        </w:rPr>
        <w:t xml:space="preserve">5. </w:t>
      </w:r>
      <w:r>
        <w:rPr>
          <w:rFonts w:ascii="Calibri" w:cs="Calibri" w:eastAsia="Calibri" w:hAnsi="Calibri"/>
          <w:sz w:val="22"/>
          <w:szCs w:val="22"/>
        </w:rPr>
        <w:t xml:space="preserve">Trainings- en veranderaanpak voor de afdelingen die met de nieuwe werkwijze gaan werken.</w:t>
      </w:r>
    </w:p>
    <w:p>
      <w:pPr>
        <w:spacing w:after="140" w:line="300"/>
      </w:pPr>
      <w:r>
        <w:rPr>
          <w:rFonts w:ascii="Calibri" w:cs="Calibri" w:eastAsia="Calibri" w:hAnsi="Calibri"/>
          <w:sz w:val="22"/>
          <w:szCs w:val="22"/>
        </w:rPr>
        <w:t xml:space="preserve">Losstaand zou elk project een deel van het probleem oplossen; alleen samen — gecoördineerd, met een gedeelde business case en een BCM die de adoptie bewaakt — realiseren ze de beoogde doorlooptijdhalvering.</w:t>
      </w:r>
    </w:p>
    <w:p>
      <w:pPr>
        <w:pStyle w:val="Heading2"/>
        <w:spacing w:after="120" w:before="200"/>
      </w:pPr>
      <w:r>
        <w:rPr>
          <w:rFonts w:ascii="Georgia" w:cs="Georgia" w:eastAsia="Georgia" w:hAnsi="Georgia"/>
          <w:b/>
          <w:bCs/>
          <w:color w:val="2563A8"/>
          <w:sz w:val="28"/>
          <w:szCs w:val="28"/>
        </w:rPr>
        <w:t xml:space="preserve">9. Vooruitblik</w:t>
      </w:r>
    </w:p>
    <w:p>
      <w:pPr>
        <w:spacing w:after="140" w:line="300"/>
      </w:pPr>
      <w:r>
        <w:rPr>
          <w:rFonts w:ascii="Calibri" w:cs="Calibri" w:eastAsia="Calibri" w:hAnsi="Calibri"/>
          <w:sz w:val="22"/>
          <w:szCs w:val="22"/>
        </w:rPr>
        <w:t xml:space="preserve">Deel 12 behandelt, over twee dagdelen, het zwaartepunt van niveau 2: </w:t>
      </w:r>
      <w:r>
        <w:rPr>
          <w:rFonts w:ascii="Calibri" w:cs="Calibri" w:eastAsia="Calibri" w:hAnsi="Calibri"/>
          <w:b/>
          <w:bCs/>
          <w:sz w:val="22"/>
          <w:szCs w:val="22"/>
        </w:rPr>
        <w:t xml:space="preserve">benefits management</w:t>
      </w:r>
      <w:r>
        <w:rPr>
          <w:rFonts w:ascii="Calibri" w:cs="Calibri" w:eastAsia="Calibri" w:hAnsi="Calibri"/>
          <w:sz w:val="22"/>
          <w:szCs w:val="22"/>
        </w:rPr>
        <w:t xml:space="preserve"> — de themes Design en Justification uitgewerkt tot benefit maps en benefit profiles, de instrumenten waarmee een programma expliciet maakt hoe outputs uiteindelijk tot baten leiden.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11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2026-08-17T07:40:25.085Z</dcterms:created>
  <dcterms:modified xsi:type="dcterms:W3CDTF">2026-08-17T07:40:25.086Z</dcterms:modified>
</cp:coreProperties>
</file>

<file path=docProps/custom.xml><?xml version="1.0" encoding="utf-8"?>
<Properties xmlns="http://schemas.openxmlformats.org/officeDocument/2006/custom-properties" xmlns:vt="http://schemas.openxmlformats.org/officeDocument/2006/docPropsVTypes"/>
</file>