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rFonts w:ascii="Georgia" w:cs="Georgia" w:eastAsia="Georgia" w:hAnsi="Georgia"/>
          <w:b/>
          <w:bCs/>
          <w:color w:val="14213D"/>
          <w:sz w:val="44"/>
          <w:szCs w:val="44"/>
        </w:rPr>
        <w:t xml:space="preserve">Deel 11 — Van project naar programma</w:t>
      </w:r>
    </w:p>
    <w:p>
      <w:pPr>
        <w:spacing w:after="300"/>
      </w:pPr>
      <w:r>
        <w:rPr>
          <w:rFonts w:ascii="Calibri" w:cs="Calibri" w:eastAsia="Calibri" w:hAnsi="Calibri"/>
          <w:i/>
          <w:iCs/>
          <w:color w:val="2563A8"/>
          <w:sz w:val="22"/>
          <w:szCs w:val="22"/>
        </w:rPr>
        <w:t xml:space="preserve">Niveau 2 Professional · Project- en Programmamanagement</w:t>
      </w:r>
    </w:p>
    <w:p>
      <w:pPr>
        <w:pStyle w:val="Heading2"/>
        <w:spacing w:after="120" w:before="200"/>
      </w:pPr>
      <w:r>
        <w:rPr>
          <w:rFonts w:ascii="Georgia" w:cs="Georgia" w:eastAsia="Georgia" w:hAnsi="Georgia"/>
          <w:b/>
          <w:bCs/>
          <w:color w:val="2563A8"/>
          <w:sz w:val="28"/>
          <w:szCs w:val="28"/>
        </w:rPr>
        <w:t xml:space="preserve">Opdracht 11.1 — Programma of geen programma? (individueel, 10 min)</w:t>
      </w:r>
    </w:p>
    <w:p>
      <w:pPr>
        <w:spacing w:after="140" w:line="300"/>
      </w:pPr>
      <w:r>
        <w:rPr>
          <w:rFonts w:ascii="Calibri" w:cs="Calibri" w:eastAsia="Calibri" w:hAnsi="Calibri"/>
          <w:sz w:val="22"/>
          <w:szCs w:val="22"/>
        </w:rPr>
        <w:t xml:space="preserve">Beoordeel voor elk van de volgende situaties bij Meridiaan of een programma gerechtvaardigd is, aan de hand van de toets uit reader §2 ("zou het weghalen van de programmalaag een beoogde baat onmogelijk maken?").</w:t>
      </w:r>
    </w:p>
    <w:p>
      <w:pPr>
        <w:spacing w:after="120" w:line="280"/>
        <w:ind w:left="360" w:hanging="360"/>
      </w:pPr>
      <w:r>
        <w:rPr>
          <w:rFonts w:ascii="Calibri" w:cs="Calibri" w:eastAsia="Calibri" w:hAnsi="Calibri"/>
          <w:b/>
          <w:bCs/>
          <w:color w:val="2563A8"/>
          <w:sz w:val="22"/>
          <w:szCs w:val="22"/>
        </w:rPr>
        <w:t xml:space="preserve">a. </w:t>
      </w:r>
      <w:r>
        <w:rPr>
          <w:rFonts w:ascii="Calibri" w:cs="Calibri" w:eastAsia="Calibri" w:hAnsi="Calibri"/>
          <w:sz w:val="22"/>
          <w:szCs w:val="22"/>
        </w:rPr>
        <w:t xml:space="preserve">Vijf afdelingen starten onafhankelijk van elkaar een eigen digitaliseringsproject, zonder gedeeld doel of onderlinge afhankelijkheid.</w:t>
      </w:r>
    </w:p>
    <w:p>
      <w:pPr>
        <w:spacing w:after="120" w:line="280"/>
        <w:ind w:left="360" w:hanging="360"/>
      </w:pPr>
      <w:r>
        <w:rPr>
          <w:rFonts w:ascii="Calibri" w:cs="Calibri" w:eastAsia="Calibri" w:hAnsi="Calibri"/>
          <w:b/>
          <w:bCs/>
          <w:color w:val="2563A8"/>
          <w:sz w:val="22"/>
          <w:szCs w:val="22"/>
        </w:rPr>
        <w:t xml:space="preserve">b. </w:t>
      </w:r>
      <w:r>
        <w:rPr>
          <w:rFonts w:ascii="Calibri" w:cs="Calibri" w:eastAsia="Calibri" w:hAnsi="Calibri"/>
          <w:sz w:val="22"/>
          <w:szCs w:val="22"/>
        </w:rPr>
        <w:t xml:space="preserve">Drie projecten moeten gezamenlijk een nieuw, organisatiebreed datamodel opleveren waarvan geen van de drie los kan profiteren.</w:t>
      </w:r>
    </w:p>
    <w:p>
      <w:pPr>
        <w:spacing w:after="120" w:line="280"/>
        <w:ind w:left="360" w:hanging="360"/>
      </w:pPr>
      <w:r>
        <w:rPr>
          <w:rFonts w:ascii="Calibri" w:cs="Calibri" w:eastAsia="Calibri" w:hAnsi="Calibri"/>
          <w:b/>
          <w:bCs/>
          <w:color w:val="2563A8"/>
          <w:sz w:val="22"/>
          <w:szCs w:val="22"/>
        </w:rPr>
        <w:t xml:space="preserve">c. </w:t>
      </w:r>
      <w:r>
        <w:rPr>
          <w:rFonts w:ascii="Calibri" w:cs="Calibri" w:eastAsia="Calibri" w:hAnsi="Calibri"/>
          <w:sz w:val="22"/>
          <w:szCs w:val="22"/>
        </w:rPr>
        <w:t xml:space="preserve">Twee IT-projecten delen toevallig hetzelfde budgetjaar, maar hebben inhoudelijk niets met elkaar te maken.</w:t>
      </w:r>
    </w:p>
    <w:p>
      <w:pPr>
        <w:spacing w:after="120" w:line="280"/>
        <w:ind w:left="360" w:hanging="360"/>
      </w:pPr>
      <w:r>
        <w:rPr>
          <w:rFonts w:ascii="Calibri" w:cs="Calibri" w:eastAsia="Calibri" w:hAnsi="Calibri"/>
          <w:b/>
          <w:bCs/>
          <w:color w:val="2563A8"/>
          <w:sz w:val="22"/>
          <w:szCs w:val="22"/>
        </w:rPr>
        <w:t xml:space="preserve">d. </w:t>
      </w:r>
      <w:r>
        <w:rPr>
          <w:rFonts w:ascii="Calibri" w:cs="Calibri" w:eastAsia="Calibri" w:hAnsi="Calibri"/>
          <w:sz w:val="22"/>
          <w:szCs w:val="22"/>
        </w:rPr>
        <w:t xml:space="preserve">Het Programma Mutatieplatform (reader §8).</w:t>
      </w:r>
    </w:p>
    <w:p>
      <w:pPr>
        <w:pStyle w:val="Heading2"/>
        <w:spacing w:after="120" w:before="200"/>
      </w:pPr>
      <w:r>
        <w:rPr>
          <w:rFonts w:ascii="Georgia" w:cs="Georgia" w:eastAsia="Georgia" w:hAnsi="Georgia"/>
          <w:b/>
          <w:bCs/>
          <w:color w:val="2563A8"/>
          <w:sz w:val="28"/>
          <w:szCs w:val="28"/>
        </w:rPr>
        <w:t xml:space="preserve">Opdracht 11.2 — PRINCE2 en MSP naast elkaar (tweetallen, 15 min)</w:t>
      </w:r>
    </w:p>
    <w:p>
      <w:pPr>
        <w:spacing w:after="140" w:line="300"/>
      </w:pPr>
      <w:r>
        <w:rPr>
          <w:rFonts w:ascii="Calibri" w:cs="Calibri" w:eastAsia="Calibri" w:hAnsi="Calibri"/>
          <w:sz w:val="22"/>
          <w:szCs w:val="22"/>
        </w:rPr>
        <w:t xml:space="preserve">Vul de volgende tabel in, op basis van reader §3–6 en je kennis uit niveau 1:</w:t>
      </w:r>
    </w:p>
    <w:tbl>
      <w:tblPr>
        <w:tblW w:type="pct" w:w="100%"/>
        <w:tblBorders>
          <w:top w:val="single" w:color="CCCCCC" w:sz="2"/>
          <w:left w:val="single" w:color="CCCCCC" w:sz="2"/>
          <w:bottom w:val="single" w:color="CCCCCC" w:sz="2"/>
          <w:right w:val="single" w:color="CCCCCC" w:sz="2"/>
          <w:insideH w:val="single" w:color="CCCCCC" w:sz="2"/>
          <w:insideV w:val="single" w:color="CCCCCC" w:sz="2"/>
        </w:tblBorders>
      </w:tblPr>
      <w:tblGrid>
        <w:gridCol w:w="100"/>
        <w:gridCol w:w="100"/>
        <w:gridCol w:w="100"/>
      </w:tblGrid>
      <w:tr>
        <w:trPr>
          <w:tblHeader/>
        </w:trPr>
        <w:tc>
          <w:tcPr>
            <w:shd w:fill="14213D"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PRINCE2-element (niveau 1)</w:t>
            </w:r>
          </w:p>
        </w:tc>
        <w:tc>
          <w:tcPr>
            <w:shd w:fill="14213D"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MSP-equivalent (dit deel)</w:t>
            </w:r>
          </w:p>
        </w:tc>
        <w:tc>
          <w:tcPr>
            <w:shd w:fill="14213D"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Belangrijkste verschil</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Principes</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Practices</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Processen</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Executive</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Projectmanager</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(geen equivalent)</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Business Change Manager</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w:t>
            </w:r>
          </w:p>
        </w:tc>
      </w:tr>
    </w:tbl>
    <w:p>
      <w:pPr>
        <w:pStyle w:val="Heading2"/>
        <w:spacing w:after="120" w:before="200"/>
      </w:pPr>
      <w:r>
        <w:rPr>
          <w:rFonts w:ascii="Georgia" w:cs="Georgia" w:eastAsia="Georgia" w:hAnsi="Georgia"/>
          <w:b/>
          <w:bCs/>
          <w:color w:val="2563A8"/>
          <w:sz w:val="28"/>
          <w:szCs w:val="28"/>
        </w:rPr>
        <w:t xml:space="preserve">Opdracht 11.3 — De zeven MSP-principes herkennen (klassikaal, 15 min)</w:t>
      </w:r>
    </w:p>
    <w:p>
      <w:pPr>
        <w:spacing w:after="140" w:line="300"/>
      </w:pPr>
      <w:r>
        <w:rPr>
          <w:rFonts w:ascii="Calibri" w:cs="Calibri" w:eastAsia="Calibri" w:hAnsi="Calibri"/>
          <w:sz w:val="22"/>
          <w:szCs w:val="22"/>
        </w:rPr>
        <w:t xml:space="preserve">Voor elk van de volgende situaties: welk MSP-principe wordt hier het meest geraakt (positief toegepast of juist genegeerd)?</w:t>
      </w:r>
    </w:p>
    <w:p>
      <w:pPr>
        <w:spacing w:after="120" w:line="280"/>
        <w:ind w:left="360" w:hanging="360"/>
      </w:pPr>
      <w:r>
        <w:rPr>
          <w:rFonts w:ascii="Calibri" w:cs="Calibri" w:eastAsia="Calibri" w:hAnsi="Calibri"/>
          <w:b/>
          <w:bCs/>
          <w:color w:val="2563A8"/>
          <w:sz w:val="22"/>
          <w:szCs w:val="22"/>
        </w:rPr>
        <w:t xml:space="preserve">a. </w:t>
      </w:r>
      <w:r>
        <w:rPr>
          <w:rFonts w:ascii="Calibri" w:cs="Calibri" w:eastAsia="Calibri" w:hAnsi="Calibri"/>
          <w:sz w:val="22"/>
          <w:szCs w:val="22"/>
        </w:rPr>
        <w:t xml:space="preserve">Een programma houdt vast aan een businessplan uit vorig jaar, terwijl de organisatiestrategie inmiddels is gewijzigd.</w:t>
      </w:r>
    </w:p>
    <w:p>
      <w:pPr>
        <w:spacing w:after="120" w:line="280"/>
        <w:ind w:left="360" w:hanging="360"/>
      </w:pPr>
      <w:r>
        <w:rPr>
          <w:rFonts w:ascii="Calibri" w:cs="Calibri" w:eastAsia="Calibri" w:hAnsi="Calibri"/>
          <w:b/>
          <w:bCs/>
          <w:color w:val="2563A8"/>
          <w:sz w:val="22"/>
          <w:szCs w:val="22"/>
        </w:rPr>
        <w:t xml:space="preserve">b. </w:t>
      </w:r>
      <w:r>
        <w:rPr>
          <w:rFonts w:ascii="Calibri" w:cs="Calibri" w:eastAsia="Calibri" w:hAnsi="Calibri"/>
          <w:sz w:val="22"/>
          <w:szCs w:val="22"/>
        </w:rPr>
        <w:t xml:space="preserve">Een programmamanager wacht met besluiten tot alle onzekerheden zijn weggenomen — wat in de praktijk nooit gebeurt.</w:t>
      </w:r>
    </w:p>
    <w:p>
      <w:pPr>
        <w:spacing w:after="120" w:line="280"/>
        <w:ind w:left="360" w:hanging="360"/>
      </w:pPr>
      <w:r>
        <w:rPr>
          <w:rFonts w:ascii="Calibri" w:cs="Calibri" w:eastAsia="Calibri" w:hAnsi="Calibri"/>
          <w:b/>
          <w:bCs/>
          <w:color w:val="2563A8"/>
          <w:sz w:val="22"/>
          <w:szCs w:val="22"/>
        </w:rPr>
        <w:t xml:space="preserve">c. </w:t>
      </w:r>
      <w:r>
        <w:rPr>
          <w:rFonts w:ascii="Calibri" w:cs="Calibri" w:eastAsia="Calibri" w:hAnsi="Calibri"/>
          <w:sz w:val="22"/>
          <w:szCs w:val="22"/>
        </w:rPr>
        <w:t xml:space="preserve">Twee afdelingen die nooit eerder hebben samengewerkt, moeten nu gezamenlijk één proces herontwerpen.</w:t>
      </w:r>
    </w:p>
    <w:p>
      <w:pPr>
        <w:spacing w:after="120" w:line="280"/>
        <w:ind w:left="360" w:hanging="360"/>
      </w:pPr>
      <w:r>
        <w:rPr>
          <w:rFonts w:ascii="Calibri" w:cs="Calibri" w:eastAsia="Calibri" w:hAnsi="Calibri"/>
          <w:b/>
          <w:bCs/>
          <w:color w:val="2563A8"/>
          <w:sz w:val="22"/>
          <w:szCs w:val="22"/>
        </w:rPr>
        <w:t xml:space="preserve">d. </w:t>
      </w:r>
      <w:r>
        <w:rPr>
          <w:rFonts w:ascii="Calibri" w:cs="Calibri" w:eastAsia="Calibri" w:hAnsi="Calibri"/>
          <w:sz w:val="22"/>
          <w:szCs w:val="22"/>
        </w:rPr>
        <w:t xml:space="preserve">Een programma rapporteert prachtige voortgang in opgeleverde producten, maar niemand kan zeggen welke baten daadwerkelijk zijn gerealiseerd.</w:t>
      </w:r>
    </w:p>
    <w:p>
      <w:pPr>
        <w:pStyle w:val="Heading2"/>
        <w:spacing w:after="120" w:before="200"/>
      </w:pPr>
      <w:r>
        <w:rPr>
          <w:rFonts w:ascii="Georgia" w:cs="Georgia" w:eastAsia="Georgia" w:hAnsi="Georgia"/>
          <w:b/>
          <w:bCs/>
          <w:color w:val="2563A8"/>
          <w:sz w:val="28"/>
          <w:szCs w:val="28"/>
        </w:rPr>
        <w:t xml:space="preserve">Opdracht 11.4 — De rol van de BCM (klassikaal, 10 min)</w:t>
      </w:r>
    </w:p>
    <w:p>
      <w:pPr>
        <w:spacing w:after="140" w:line="300"/>
      </w:pPr>
      <w:r>
        <w:rPr>
          <w:rFonts w:ascii="Calibri" w:cs="Calibri" w:eastAsia="Calibri" w:hAnsi="Calibri"/>
          <w:sz w:val="22"/>
          <w:szCs w:val="22"/>
        </w:rPr>
        <w:t xml:space="preserve">De reader (§6) stelt dat de Business Change Manager-rol direct aansluit bij bevinding 7 uit niveau 1 (geen zicht op baten). Leg in eigen woorden uit waarom een rol die specifiek verantwoordelijk is voor "adoptie" iets toevoegt dat de PRINCE2-rollen (Executive, Senior User, Senior Supplier) niet al dekken.</w:t>
      </w:r>
    </w:p>
    <w:p>
      <w:pPr>
        <w:pStyle w:val="Heading2"/>
        <w:spacing w:after="120" w:before="200"/>
      </w:pPr>
      <w:r>
        <w:rPr>
          <w:rFonts w:ascii="Georgia" w:cs="Georgia" w:eastAsia="Georgia" w:hAnsi="Georgia"/>
          <w:b/>
          <w:bCs/>
          <w:color w:val="2563A8"/>
          <w:sz w:val="28"/>
          <w:szCs w:val="28"/>
        </w:rPr>
        <w:t xml:space="preserve">Reflectievraag (afsluitend)</w:t>
      </w:r>
    </w:p>
    <w:p>
      <w:pPr>
        <w:spacing w:after="140" w:line="300"/>
      </w:pPr>
      <w:r>
        <w:rPr>
          <w:rFonts w:ascii="Calibri" w:cs="Calibri" w:eastAsia="Calibri" w:hAnsi="Calibri"/>
          <w:sz w:val="22"/>
          <w:szCs w:val="22"/>
        </w:rPr>
        <w:t xml:space="preserve">MSP's zeven processen zijn deels cyclisch, PRINCE2's zeven processen zijn overwegend lineair (van start tot afsluiting, deel 7-8). Wat zegt dat verschil over de aard van een programma versus een project — waarom zou een programma juist wél periodiek "opnieuw beginnen" (Evaluate New Information) terwijl een project dat niet doet?</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888"/>
        <w:sz w:val="16"/>
        <w:szCs w:val="16"/>
      </w:rPr>
      <w:t xml:space="preserve">Pagina </w:t>
    </w:r>
    <w:r>
      <w:rPr>
        <w:rFonts w:ascii="Calibri" w:cs="Calibri" w:eastAsia="Calibri" w:hAnsi="Calibri"/>
        <w:color w:val="888888"/>
        <w:sz w:val="16"/>
        <w:szCs w:val="16"/>
      </w:rPr>
      <w:fldChar w:fldCharType="begin"/>
      <w:instrText xml:space="preserve">PAGE</w:instrText>
      <w:fldChar w:fldCharType="separate"/>
      <w:fldChar w:fldCharType="end"/>
    </w:r>
    <w:r>
      <w:rPr>
        <w:rFonts w:ascii="Calibri" w:cs="Calibri" w:eastAsia="Calibri" w:hAnsi="Calibri"/>
        <w:color w:val="888888"/>
        <w:sz w:val="16"/>
        <w:szCs w:val="16"/>
      </w:rPr>
      <w:t xml:space="preserve"> van </w:t>
    </w:r>
    <w:r>
      <w:rPr>
        <w:rFonts w:ascii="Calibri" w:cs="Calibri" w:eastAsia="Calibri" w:hAnsi="Calibri"/>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563A8" w:sz="6" w:space="4"/>
      </w:pBdr>
      <w:jc w:val="right"/>
    </w:pPr>
    <w:r>
      <w:rPr>
        <w:rFonts w:ascii="Calibri" w:cs="Calibri" w:eastAsia="Calibri" w:hAnsi="Calibri"/>
        <w:color w:val="2563A8"/>
        <w:sz w:val="16"/>
        <w:szCs w:val="16"/>
      </w:rPr>
      <w:t xml:space="preserve">Project- en Programmamanagement · Niveau 2 Professional · Deel 11 · Werkboek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2026-08-17T07:40:25.147Z</dcterms:created>
  <dcterms:modified xsi:type="dcterms:W3CDTF">2026-08-17T07:40:25.147Z</dcterms:modified>
</cp:coreProperties>
</file>

<file path=docProps/custom.xml><?xml version="1.0" encoding="utf-8"?>
<Properties xmlns="http://schemas.openxmlformats.org/officeDocument/2006/custom-properties" xmlns:vt="http://schemas.openxmlformats.org/officeDocument/2006/docPropsVTypes"/>
</file>