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Georgia" w:cs="Georgia" w:eastAsia="Georgia" w:hAnsi="Georgia"/>
          <w:b/>
          <w:bCs/>
          <w:color w:val="14213D"/>
          <w:sz w:val="44"/>
          <w:szCs w:val="44"/>
        </w:rPr>
        <w:t xml:space="preserve">Deel 12 — Benefits management I (twee dagdelen)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2563A8"/>
          <w:sz w:val="22"/>
          <w:szCs w:val="22"/>
        </w:rPr>
        <w:t xml:space="preserve">Niveau 2 Professional · Project- en Programmamanagement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Dagdelen:</w:t>
      </w:r>
      <w:r>
        <w:rPr>
          <w:rFonts w:ascii="Calibri" w:cs="Calibri" w:eastAsia="Calibri" w:hAnsi="Calibri"/>
          <w:sz w:val="22"/>
          <w:szCs w:val="22"/>
        </w:rPr>
        <w:t xml:space="preserve"> 12a en 12b (deel 2 van niveau 2, twee dagdelen — het zwaartepunt van het niveau) ·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Duur:</w:t>
      </w:r>
      <w:r>
        <w:rPr>
          <w:rFonts w:ascii="Calibri" w:cs="Calibri" w:eastAsia="Calibri" w:hAnsi="Calibri"/>
          <w:sz w:val="22"/>
          <w:szCs w:val="22"/>
        </w:rPr>
        <w:t xml:space="preserve"> circa 3 uur per dagdeel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Doel van dit deel:</w:t>
      </w:r>
      <w:r>
        <w:rPr>
          <w:rFonts w:ascii="Calibri" w:cs="Calibri" w:eastAsia="Calibri" w:hAnsi="Calibri"/>
          <w:sz w:val="22"/>
          <w:szCs w:val="22"/>
        </w:rPr>
        <w:t xml:space="preserve"> benefits management niet als theorie laten landen, maar als vaardigheid — de benefits map-oefening (opdracht 12.2) is het hart van dit deel en verdient de meeste tijd en de meeste begeleiding.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Opbouw en timing — Dagdeel 12a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Tijd</w:t>
            </w:r>
          </w:p>
        </w:tc>
        <w:tc>
          <w:tcPr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Onderdeel</w:t>
            </w:r>
          </w:p>
        </w:tc>
        <w:tc>
          <w:tcPr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Vorm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0:00–0:15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Terugblik deel 11, waarom benefits management het zwaartepunt is (reader §1)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Presentatie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0:15–0:35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Van PRINCE2's keten naar MSP's netwerk (reader §2)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Presentatie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0:35–1:00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Opdracht 12.1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Individueel + bespreking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1:00–1:10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Pauze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1:10–1:35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 benefits map bouwen: de twee vragen, groepswerk als vereiste (reader §3) — demonstreer eerst zelf een klein voorbeeld op het bord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Presentatie, interactief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1:35–2:25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Opdracht 12.2 — de kernoefening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Groepswerk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2:25–2:30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Korte terugblik, vooruitblik dagdeel 12b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Afsluiting</w:t>
            </w:r>
          </w:p>
        </w:tc>
      </w:tr>
    </w:tbl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Opbouw en timing — Dagdeel 12b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Tijd</w:t>
            </w:r>
          </w:p>
        </w:tc>
        <w:tc>
          <w:tcPr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Onderdeel</w:t>
            </w:r>
          </w:p>
        </w:tc>
        <w:tc>
          <w:tcPr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Vorm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0:00–0:15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Terugblik op de benefits maps van dagdeel 12a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Klassikaal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0:15–0:35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Het benefit profile (reader §4)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Presentatie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0:35–0:55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Opdracht 12.3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Tweetallen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0:55–1:10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Benefits management strategy en realisatieplan (reader §5)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Presentatie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1:10–1:20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Pauze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1:20–1:40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Prioriteren met de benefits mapping grid (reader §6)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Presentatie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1:40–2:00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Opdracht 12.4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Klassikaal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2:00–2:15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 rol van de BCM, toegepast op het Programma Mutatieplatform (reader §7–8)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Presentatie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2:15–2:30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Opdracht 12.4 reflectievraag, vooruitblik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Afsluiting</w:t>
            </w:r>
          </w:p>
        </w:tc>
      </w:tr>
    </w:tbl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Didactische aanwijzingen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Demonstreer de "Hoe?"/"Waarom?"-techniek eerst zelf met een klein, laagdrempelig voorbeeld (bijvoorbeeld: een nieuwe fietsenstalling bij kantoor) voordat groepen aan opdracht 12.2 beginnen.</w:t>
      </w:r>
      <w:r>
        <w:rPr>
          <w:rFonts w:ascii="Calibri" w:cs="Calibri" w:eastAsia="Calibri" w:hAnsi="Calibri"/>
          <w:sz w:val="22"/>
          <w:szCs w:val="22"/>
        </w:rPr>
        <w:t xml:space="preserve"> Deelnemers die de techniek niet eerst zien voordoen, blijven vaak steken op het niveau van enablers en business changes zonder ooit een écht end benefit te bereiken.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 valkuil bij opdracht 12.2 is stoppen bij een intermediate benefit die aanvoelt als eindpunt.</w:t>
      </w:r>
      <w:r>
        <w:rPr>
          <w:rFonts w:ascii="Calibri" w:cs="Calibri" w:eastAsia="Calibri" w:hAnsi="Calibri"/>
          <w:sz w:val="22"/>
          <w:szCs w:val="22"/>
        </w:rPr>
        <w:t xml:space="preserve"> Stuur actief door te vragen "en dus? wat levert dát weer op voor de organisatie als geheel?" — een baat als "minder handmatige nabewerking" is vrijwel nooit het eindpunt; vraag door tot een strategisch niveau (doorlooptijd, kosten, klanttevredenheid, toezichtcompliance).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Laat de kaartuitwisseling in opdracht 12.2d serieus gebeuren — dit is het leermoment, niet een afrondingsformaliteit.</w:t>
      </w:r>
      <w:r>
        <w:rPr>
          <w:rFonts w:ascii="Calibri" w:cs="Calibri" w:eastAsia="Calibri" w:hAnsi="Calibri"/>
          <w:sz w:val="22"/>
          <w:szCs w:val="22"/>
        </w:rPr>
        <w:t xml:space="preserve"> Een groep ziet zelden de eigen blinde vlekken; een andere groep wel.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Bij het benefit profile (opdracht 12.3) is de meetmethode inclusief nulmeting het onderdeel waar het vaakst wordt gesjoemeld.</w:t>
      </w:r>
      <w:r>
        <w:rPr>
          <w:rFonts w:ascii="Calibri" w:cs="Calibri" w:eastAsia="Calibri" w:hAnsi="Calibri"/>
          <w:sz w:val="22"/>
          <w:szCs w:val="22"/>
        </w:rPr>
        <w:t xml:space="preserve"> Vraag door: "hoe wéét je dat dit daadwerkelijk verbeterd is, en waartegen vergelijk je dat?" Zonder nulmeting is elke latere claim over gerealiseerde baten onverifieerbaar — exact het probleem van bevinding 7 uit niveau 1.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 benefits mapping grid (opdracht 12.4) is bewust een kort onderdeel — het is een hulpmiddel, geen doel op zich.</w:t>
      </w:r>
      <w:r>
        <w:rPr>
          <w:rFonts w:ascii="Calibri" w:cs="Calibri" w:eastAsia="Calibri" w:hAnsi="Calibri"/>
          <w:sz w:val="22"/>
          <w:szCs w:val="22"/>
        </w:rPr>
        <w:t xml:space="preserve"> Voorkom dat de discussie te lang blijft hangen bij de precieze plaatsing van elk kwadrant; de waarde zit in het gesprek over prioriteit, niet in een exacte score.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Modelantwoorden — Opdracht 12.1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Enabler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Business change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End benefit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Intermediate benefit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e. </w:t>
      </w:r>
      <w:r>
        <w:rPr>
          <w:rFonts w:ascii="Calibri" w:cs="Calibri" w:eastAsia="Calibri" w:hAnsi="Calibri"/>
          <w:sz w:val="22"/>
          <w:szCs w:val="22"/>
        </w:rPr>
        <w:t xml:space="preserve">Dis-benefit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f. </w:t>
      </w:r>
      <w:r>
        <w:rPr>
          <w:rFonts w:ascii="Calibri" w:cs="Calibri" w:eastAsia="Calibri" w:hAnsi="Calibri"/>
          <w:sz w:val="22"/>
          <w:szCs w:val="22"/>
        </w:rPr>
        <w:t xml:space="preserve">Enabler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Modelantwoorden — Opdracht 12.2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Geen uniek antwoord; een sterke benefits map voor het gegeven voorbeeld zou er ongeveer zo uit kunnen zien: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Enablers: geautomatiseerde detectieregels voor pensioenopgaven, een controle-dashboard voor de afdeling die opgaven verstuurt.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Business change: medewerkers controleren gesignaleerde afwijkingen vóór verzending in plaats van steekproefsgewijs achteraf.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Intermediate benefit: minder foutieve opgaven die daadwerkelijk worden verstuurd.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End benefit: minder klachten en correcties na verzending, met als verdere doorvraag mogelijk: hoger vertrouwen van deelnemers in de juistheid van hun pensioenoverzicht (een strategisch, reputatiegerelateerd doel).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Dis-benefit: extra werklast voor de controlerende medewerkers in de periode direct na invoering, totdat de detectieregels voldoende zijn verfijnd.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Modelantwoord — Opdracht 12.3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Beoordeel op: een eigenaar die daadwerkelijk operationeel verantwoordelijk kan zijn (niet automatisch de programmamanager); een meetmethode die specifiek en herhaalbaar is (bijvoorbeeld: aantal correctieverzoeken per kwartaal, vergeleken met een nulmeting over het voorgaande jaar); expliciet benoemde afhankelijkheden (bijvoorbeeld: afhankelijk van zowel de detectieregels als de daadwerkelijke naleving door medewerkers).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Modelantwoorden — Opdracht 12.4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Waarschijnlijk hoge impact/makkelijk te realiseren — direct effect, relatief beperkte technische inspanning.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Hoge impact/moeilijk te realiseren — zorgvuldig afwegen, mogelijk gefaseerd aanpakken.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Lage tot gemiddelde impact/makkelijk te realiseren — een goede quick win om vroeg momentum te tonen.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Potentieel hoge impact, maar moeilijk te realiseren (cultuurverandering kost tijd) — vereist aanhoudende aandacht via Embed the Outcomes (deel 11, §7), niet een eenmalige interventie.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Veelgestelde vragen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"Is een benefits map hetzelfde als het Product Flow Diagram uit PRINCE2 (deel 4)?"</w:t>
      </w:r>
      <w:r>
        <w:rPr>
          <w:rFonts w:ascii="Calibri" w:cs="Calibri" w:eastAsia="Calibri" w:hAnsi="Calibri"/>
          <w:sz w:val="22"/>
          <w:szCs w:val="22"/>
        </w:rPr>
        <w:t xml:space="preserve"> Verwant in vorm (een netwerkdiagram met pijlen), maar fundamenteel anders in inhoud: het PFD toont productafhankelijkheden binnen één project, de benefits map toont hoe baten op programmaniveau, over meerdere projecten heen, met elkaar samenhangen.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"Wie is uiteindelijk verantwoordelijk als een baat niet wordt gerealiseerd?"</w:t>
      </w:r>
      <w:r>
        <w:rPr>
          <w:rFonts w:ascii="Calibri" w:cs="Calibri" w:eastAsia="Calibri" w:hAnsi="Calibri"/>
          <w:sz w:val="22"/>
          <w:szCs w:val="22"/>
        </w:rPr>
        <w:t xml:space="preserve"> De operationele eigenaar uit het benefit profile is verantwoordelijk voor het volgen en signaleren; de BCM is verantwoordelijk voor het escaleren en bijsturen namens de SRO, die uiteindelijk verantwoording aflegt aan de sponsoring group.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Pagina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van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A8" w:sz="6" w:space="4"/>
      </w:pBdr>
      <w:jc w:val="right"/>
    </w:pPr>
    <w:r>
      <w:rPr>
        <w:rFonts w:ascii="Calibri" w:cs="Calibri" w:eastAsia="Calibri" w:hAnsi="Calibri"/>
        <w:color w:val="2563A8"/>
        <w:sz w:val="16"/>
        <w:szCs w:val="16"/>
      </w:rPr>
      <w:t xml:space="preserve">Project- en Programmamanagement · Niveau 2 Professional · Deel 12 · Docentenhandleiding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2026-08-17T07:40:21.320Z</dcterms:created>
  <dcterms:modified xsi:type="dcterms:W3CDTF">2026-08-17T07:40:21.320Z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