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13 — Business case en investeringsbesluiten op programmaniveau</w:t>
      </w:r>
    </w:p>
    <w:p>
      <w:pPr>
        <w:spacing w:after="300"/>
      </w:pPr>
      <w:r>
        <w:rPr>
          <w:rFonts w:ascii="Calibri" w:cs="Calibri" w:eastAsia="Calibri" w:hAnsi="Calibri"/>
          <w:i/>
          <w:iCs/>
          <w:color w:val="2563A8"/>
          <w:sz w:val="22"/>
          <w:szCs w:val="22"/>
        </w:rPr>
        <w:t xml:space="preserve">Niveau 2 Professional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13 (deel 3 van niveau 2)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 programmatische business case laten landen als iets fundamenteel anders dan "een grote projectbusinesscase" — het is een samengesteld, organisch groeiend document met een eigen herijkingsritme. De vergelijking met PRINCE2 (reader §6) is het belangrijkste ankerpunt.</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12, introductie Justification-theme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Desirable/viable/achievable op programmaschaal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13.1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vijf bouwstenen van de business case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13.2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investeringsbeslissing en het herijkingsritme (reader §4–5)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13.3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 casusgewijs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Vergelijking met PRINCE2 + opdracht 13.4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Het centrale inzicht van dit deel is dat de programmatische business case geen op zichzelf staand document is, maar een knooppunt.</w:t>
      </w:r>
      <w:r>
        <w:rPr>
          <w:rFonts w:ascii="Calibri" w:cs="Calibri" w:eastAsia="Calibri" w:hAnsi="Calibri"/>
          <w:sz w:val="22"/>
          <w:szCs w:val="22"/>
        </w:rPr>
        <w:t xml:space="preserve"> Besteed bij reader §3 expliciet tijd aan het concreet maken van "wat gebeurt er met de business case als [bouwsteen X] verandert" — dit is precies waar opdracht 13.2 op oefent.</w:t>
      </w:r>
    </w:p>
    <w:p>
      <w:pPr>
        <w:pStyle w:val="ListParagraph"/>
        <w:numPr>
          <w:ilvl w:val="0"/>
          <w:numId w:val="1"/>
        </w:numPr>
        <w:spacing w:after="100" w:line="280"/>
      </w:pPr>
      <w:r>
        <w:rPr>
          <w:rFonts w:ascii="Calibri" w:cs="Calibri" w:eastAsia="Calibri" w:hAnsi="Calibri"/>
          <w:b/>
          <w:bCs/>
          <w:sz w:val="22"/>
          <w:szCs w:val="22"/>
        </w:rPr>
        <w:t xml:space="preserve">Bij opdracht 13.1 is (b) het meest genuanceerd:</w:t>
      </w:r>
      <w:r>
        <w:rPr>
          <w:rFonts w:ascii="Calibri" w:cs="Calibri" w:eastAsia="Calibri" w:hAnsi="Calibri"/>
          <w:sz w:val="22"/>
          <w:szCs w:val="22"/>
        </w:rPr>
        <w:t xml:space="preserve"> dit raakt zowel viable (kan de organisatie dit volhouden) als achievable (is de uitkomst realistisch); laat beide kanten bespreken in plaats van te forceren naar één antwoord.</w:t>
      </w:r>
    </w:p>
    <w:p>
      <w:pPr>
        <w:pStyle w:val="ListParagraph"/>
        <w:numPr>
          <w:ilvl w:val="0"/>
          <w:numId w:val="1"/>
        </w:numPr>
        <w:spacing w:after="100" w:line="280"/>
      </w:pPr>
      <w:r>
        <w:rPr>
          <w:rFonts w:ascii="Calibri" w:cs="Calibri" w:eastAsia="Calibri" w:hAnsi="Calibri"/>
          <w:b/>
          <w:bCs/>
          <w:sz w:val="22"/>
          <w:szCs w:val="22"/>
        </w:rPr>
        <w:t xml:space="preserve">Bij opdracht 13.3 is (c) de moeilijkste — een verschuivende, maar niet definitief weggevallen prioriteit.</w:t>
      </w:r>
      <w:r>
        <w:rPr>
          <w:rFonts w:ascii="Calibri" w:cs="Calibri" w:eastAsia="Calibri" w:hAnsi="Calibri"/>
          <w:sz w:val="22"/>
          <w:szCs w:val="22"/>
        </w:rPr>
        <w:t xml:space="preserve"> Dit is precies het soort ambigue situatie waar MSP-principe 3 (deal with ambiguity, deel 11) om vraagt: er is hier geen overduidelijk "goed" antwoord, en dat is zelf de les. Laat de groep het gesprek voeren in plaats van snel naar een modelantwoord te grijpen.</w:t>
      </w:r>
    </w:p>
    <w:p>
      <w:pPr>
        <w:pStyle w:val="ListParagraph"/>
        <w:numPr>
          <w:ilvl w:val="0"/>
          <w:numId w:val="1"/>
        </w:numPr>
        <w:spacing w:after="100" w:line="280"/>
      </w:pPr>
      <w:r>
        <w:rPr>
          <w:rFonts w:ascii="Calibri" w:cs="Calibri" w:eastAsia="Calibri" w:hAnsi="Calibri"/>
          <w:b/>
          <w:bCs/>
          <w:sz w:val="22"/>
          <w:szCs w:val="22"/>
        </w:rPr>
        <w:t xml:space="preserve">Vermijd de indruk dat "pauzeren" een zwaktebod is.</w:t>
      </w:r>
      <w:r>
        <w:rPr>
          <w:rFonts w:ascii="Calibri" w:cs="Calibri" w:eastAsia="Calibri" w:hAnsi="Calibri"/>
          <w:sz w:val="22"/>
          <w:szCs w:val="22"/>
        </w:rPr>
        <w:t xml:space="preserve"> Benadruk dat dit een volwaardige, soms verstandigere optie is dan geforceerd doorgaan of definitief stoppen — precies de extra nuance die MSP toevoegt ten opzichte van PRINCE2's binaire doorgaan/stoppen op projectniveau.</w:t>
      </w:r>
    </w:p>
    <w:p>
      <w:pPr>
        <w:pStyle w:val="Heading2"/>
        <w:spacing w:after="120" w:before="200"/>
      </w:pPr>
      <w:r>
        <w:rPr>
          <w:rFonts w:ascii="Georgia" w:cs="Georgia" w:eastAsia="Georgia" w:hAnsi="Georgia"/>
          <w:b/>
          <w:bCs/>
          <w:color w:val="2563A8"/>
          <w:sz w:val="28"/>
          <w:szCs w:val="28"/>
        </w:rPr>
        <w:t xml:space="preserve">Modelantwoorden — Opdracht 13.1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Desirable — de financiële aantrekkelijkheid staat niet ter discussie, het draagvlak (gepercipieerde waarde) wel.</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Viable — een resourcebeperking die de haalbaarheid over de hele looptijd raakt.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Achievable — de beoogde baat is, zoals oorspronkelijk afgebakend, niet realistisch te behalen.</w:t>
      </w:r>
    </w:p>
    <w:p>
      <w:pPr>
        <w:pStyle w:val="Heading2"/>
        <w:spacing w:after="120" w:before="200"/>
      </w:pPr>
      <w:r>
        <w:rPr>
          <w:rFonts w:ascii="Georgia" w:cs="Georgia" w:eastAsia="Georgia" w:hAnsi="Georgia"/>
          <w:b/>
          <w:bCs/>
          <w:color w:val="2563A8"/>
          <w:sz w:val="28"/>
          <w:szCs w:val="28"/>
        </w:rPr>
        <w:t xml:space="preserve">Modelantwoorden — Opdracht 13.2</w:t>
      </w:r>
    </w:p>
    <w:p>
      <w:pPr>
        <w:spacing w:after="140" w:line="300"/>
      </w:pPr>
      <w:r>
        <w:rPr>
          <w:rFonts w:ascii="Calibri" w:cs="Calibri" w:eastAsia="Calibri" w:hAnsi="Calibri"/>
          <w:sz w:val="22"/>
          <w:szCs w:val="22"/>
        </w:rPr>
        <w:t xml:space="preserve">Voorbeeld (andere, even valide antwoorden mogelijk):</w:t>
      </w:r>
    </w:p>
    <w:p>
      <w:pPr>
        <w:pStyle w:val="ListParagraph"/>
        <w:numPr>
          <w:ilvl w:val="0"/>
          <w:numId w:val="1"/>
        </w:numPr>
        <w:spacing w:after="100" w:line="280"/>
      </w:pPr>
      <w:r>
        <w:rPr>
          <w:rFonts w:ascii="Calibri" w:cs="Calibri" w:eastAsia="Calibri" w:hAnsi="Calibri"/>
          <w:sz w:val="22"/>
          <w:szCs w:val="22"/>
        </w:rPr>
        <w:t xml:space="preserve">Blueprint: als het target operating model wijzigt (bijvoorbeeld: een centraler in plaats van decentraal mutatieproces), verschuiven de benodigde enablers en daarmee de kosteninschatting.</w:t>
      </w:r>
    </w:p>
    <w:p>
      <w:pPr>
        <w:pStyle w:val="ListParagraph"/>
        <w:numPr>
          <w:ilvl w:val="0"/>
          <w:numId w:val="1"/>
        </w:numPr>
        <w:spacing w:after="100" w:line="280"/>
      </w:pPr>
      <w:r>
        <w:rPr>
          <w:rFonts w:ascii="Calibri" w:cs="Calibri" w:eastAsia="Calibri" w:hAnsi="Calibri"/>
          <w:sz w:val="22"/>
          <w:szCs w:val="22"/>
        </w:rPr>
        <w:t xml:space="preserve">Benefits realisation plan: als een intermediate benefit trager wordt gerealiseerd dan gepland, daalt het vertrouwen in de haalbaarheid van de end benefit.</w:t>
      </w:r>
    </w:p>
    <w:p>
      <w:pPr>
        <w:pStyle w:val="ListParagraph"/>
        <w:numPr>
          <w:ilvl w:val="0"/>
          <w:numId w:val="1"/>
        </w:numPr>
        <w:spacing w:after="100" w:line="280"/>
      </w:pPr>
      <w:r>
        <w:rPr>
          <w:rFonts w:ascii="Calibri" w:cs="Calibri" w:eastAsia="Calibri" w:hAnsi="Calibri"/>
          <w:sz w:val="22"/>
          <w:szCs w:val="22"/>
        </w:rPr>
        <w:t xml:space="preserve">Risicoregister: een nieuw geïdentificeerd, hoog-impact risico (bijvoorbeeld rond gegevensbescherming) kan de viability-beoordeling direct raken.</w:t>
      </w:r>
    </w:p>
    <w:p>
      <w:pPr>
        <w:pStyle w:val="ListParagraph"/>
        <w:numPr>
          <w:ilvl w:val="0"/>
          <w:numId w:val="1"/>
        </w:numPr>
        <w:spacing w:after="100" w:line="280"/>
      </w:pPr>
      <w:r>
        <w:rPr>
          <w:rFonts w:ascii="Calibri" w:cs="Calibri" w:eastAsia="Calibri" w:hAnsi="Calibri"/>
          <w:sz w:val="22"/>
          <w:szCs w:val="22"/>
        </w:rPr>
        <w:t xml:space="preserve">Resource management strategy/plan: schaarste aan technisch personeel (zoals in opdracht 13.1b) beïnvloedt rechtstreeks de haalbaarheid van de tijdlijn.</w:t>
      </w:r>
    </w:p>
    <w:p>
      <w:pPr>
        <w:pStyle w:val="ListParagraph"/>
        <w:numPr>
          <w:ilvl w:val="0"/>
          <w:numId w:val="1"/>
        </w:numPr>
        <w:spacing w:after="100" w:line="280"/>
      </w:pPr>
      <w:r>
        <w:rPr>
          <w:rFonts w:ascii="Calibri" w:cs="Calibri" w:eastAsia="Calibri" w:hAnsi="Calibri"/>
          <w:sz w:val="22"/>
          <w:szCs w:val="22"/>
        </w:rPr>
        <w:t xml:space="preserve">Programmaplan/tranches: een vertraagde eerste tranche verschuift de verwachte realisatiedatum van latere baten, wat de business case als geheel beïnvloedt.</w:t>
      </w:r>
    </w:p>
    <w:p>
      <w:pPr>
        <w:pStyle w:val="Heading2"/>
        <w:spacing w:after="120" w:before="200"/>
      </w:pPr>
      <w:r>
        <w:rPr>
          <w:rFonts w:ascii="Georgia" w:cs="Georgia" w:eastAsia="Georgia" w:hAnsi="Georgia"/>
          <w:b/>
          <w:bCs/>
          <w:color w:val="2563A8"/>
          <w:sz w:val="28"/>
          <w:szCs w:val="28"/>
        </w:rPr>
        <w:t xml:space="preserve">Modelantwoorden — Opdracht 13.3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Doorgaan zoals gepland.</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De aanpak aanpassen — de blueprint en mogelijk de resterende tranches worden bijgesteld om het nieuwe validatieproces te accommoderen.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Waarschijnlijk pauzeren, of in ieder geval een tussenstap van heroverweging zonder direct te sluiten — laat de discussie de ambiguïteit expliciet benoemen (zie didactische aanwijzing).</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Vroegtijdig sluiten — de business case houdt niet langer stand, ongeacht hoeveel al is geïnvesteerd (herhaling van principe 1, deel 2, nu op programmaniveau).</w:t>
      </w:r>
    </w:p>
    <w:p>
      <w:pPr>
        <w:pStyle w:val="Heading2"/>
        <w:spacing w:after="120" w:before="200"/>
      </w:pPr>
      <w:r>
        <w:rPr>
          <w:rFonts w:ascii="Georgia" w:cs="Georgia" w:eastAsia="Georgia" w:hAnsi="Georgia"/>
          <w:b/>
          <w:bCs/>
          <w:color w:val="2563A8"/>
          <w:sz w:val="28"/>
          <w:szCs w:val="28"/>
        </w:rPr>
        <w:t xml:space="preserve">Modelantwoord — Opdracht 13.4</w:t>
      </w:r>
    </w:p>
    <w:p>
      <w:pPr>
        <w:spacing w:after="140" w:line="300"/>
      </w:pPr>
      <w:r>
        <w:rPr>
          <w:rFonts w:ascii="Calibri" w:cs="Calibri" w:eastAsia="Calibri" w:hAnsi="Calibri"/>
          <w:sz w:val="22"/>
          <w:szCs w:val="22"/>
        </w:rPr>
        <w:t xml:space="preserve">Een programma-business case is geen "opgeschaalde" projectbusinesscase omdat (1) ze niet op zichzelf staat maar wordt samengesteld uit andere, voortdurend veranderende programmadocumenten; (2) het herijkingsritme is gekoppeld aan tranches in plaats van fasen, met een fundamenteel andere set mogelijke uitkomsten (vier in plaats van twee); en (3) de mate van precisie bij de start bewust lager mag zijn, omdat een programma zich over een langere, onzekerdere horizon uitstrekt. Wie dit verschil negeert, loopt het risico een programma af te rekenen op een precisie die pas later in de looptijd realistisch wordt.</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Een sponsoring group zou bij de allereerste autorisatie vooral moeten toetsen of de </w:t>
      </w:r>
      <w:r>
        <w:rPr>
          <w:rFonts w:ascii="Calibri" w:cs="Calibri" w:eastAsia="Calibri" w:hAnsi="Calibri"/>
          <w:b/>
          <w:bCs/>
          <w:sz w:val="22"/>
          <w:szCs w:val="22"/>
        </w:rPr>
        <w:t xml:space="preserve">richting</w:t>
      </w:r>
      <w:r>
        <w:rPr>
          <w:rFonts w:ascii="Calibri" w:cs="Calibri" w:eastAsia="Calibri" w:hAnsi="Calibri"/>
          <w:sz w:val="22"/>
          <w:szCs w:val="22"/>
        </w:rPr>
        <w:t xml:space="preserve"> en de </w:t>
      </w:r>
      <w:r>
        <w:rPr>
          <w:rFonts w:ascii="Calibri" w:cs="Calibri" w:eastAsia="Calibri" w:hAnsi="Calibri"/>
          <w:b/>
          <w:bCs/>
          <w:sz w:val="22"/>
          <w:szCs w:val="22"/>
        </w:rPr>
        <w:t xml:space="preserve">eerste, meest zekere tranche</w:t>
      </w:r>
      <w:r>
        <w:rPr>
          <w:rFonts w:ascii="Calibri" w:cs="Calibri" w:eastAsia="Calibri" w:hAnsi="Calibri"/>
          <w:sz w:val="22"/>
          <w:szCs w:val="22"/>
        </w:rPr>
        <w:t xml:space="preserve"> solide zijn — bijvoorbeeld: is de eerste tranche voldoende onderbouwd om te starten, en is er voldoende vertrouwen in de algemene richting van latere tranches, ook al zijn die nog niet in detail uitgewerkt? Onacceptabele onzekerheid zou zitten in de kernvraag zelf (is dit ooit gaan renderen?), niet in de exacte cijfers van tranche drie of vier, die nu eenmaal nog niet met precisie te geven zijn.</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"Wie beslist uiteindelijk over pauzeren of vroegtijdig sluiten?"</w:t>
      </w:r>
      <w:r>
        <w:rPr>
          <w:rFonts w:ascii="Calibri" w:cs="Calibri" w:eastAsia="Calibri" w:hAnsi="Calibri"/>
          <w:sz w:val="22"/>
          <w:szCs w:val="22"/>
        </w:rPr>
        <w:t xml:space="preserve"> De sponsoring group, op advies van de SRO — vergelijkbaar met hoe in PRINCE2 de stuurgroep, niet de projectmanager, over voortzetting beslist (deel 3, §3).</w:t>
      </w:r>
    </w:p>
    <w:p>
      <w:pPr>
        <w:pStyle w:val="ListParagraph"/>
        <w:numPr>
          <w:ilvl w:val="0"/>
          <w:numId w:val="1"/>
        </w:numPr>
        <w:spacing w:after="100" w:line="280"/>
      </w:pPr>
      <w:r>
        <w:rPr>
          <w:rFonts w:ascii="Calibri" w:cs="Calibri" w:eastAsia="Calibri" w:hAnsi="Calibri"/>
          <w:i/>
          <w:iCs/>
          <w:sz w:val="22"/>
          <w:szCs w:val="22"/>
        </w:rPr>
        <w:t xml:space="preserve">"Moet elke tranche-evaluatie een volledige herziening van de hele business case zijn?"</w:t>
      </w:r>
      <w:r>
        <w:rPr>
          <w:rFonts w:ascii="Calibri" w:cs="Calibri" w:eastAsia="Calibri" w:hAnsi="Calibri"/>
          <w:sz w:val="22"/>
          <w:szCs w:val="22"/>
        </w:rPr>
        <w:t xml:space="preserve"> Nee — de diepgang is proportioneel aan wat er is veranderd; een tranche zonder noemenswaardige nieuwe informatie kan met een lichte toets volstaan, terwijl een tranche met een fors risico-incident een grondiger herbeoordeling vergt.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13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2026-08-17T07:40:17.098Z</dcterms:created>
  <dcterms:modified xsi:type="dcterms:W3CDTF">2026-08-17T07:40:17.098Z</dcterms:modified>
</cp:coreProperties>
</file>

<file path=docProps/custom.xml><?xml version="1.0" encoding="utf-8"?>
<Properties xmlns="http://schemas.openxmlformats.org/officeDocument/2006/custom-properties" xmlns:vt="http://schemas.openxmlformats.org/officeDocument/2006/docPropsVTypes"/>
</file>