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4213D"/>
          <w:sz w:val="44"/>
          <w:szCs w:val="44"/>
        </w:rPr>
        <w:t xml:space="preserve">Deel 13 — Business case en investeringsbesluiten op programmaniveau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563A8"/>
          <w:sz w:val="22"/>
          <w:szCs w:val="22"/>
        </w:rPr>
        <w:t xml:space="preserve">Niveau 2 Professional · Project- en Programmamanagement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1. Justification: MSP's tegenhanger van PRINCE2's Business Case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Waar deel 12 liet zien hóe baten in kaart worden gebracht, behandelt dit deel hoe die baten samen met kosten, risico's en tijdlijnen tot een investeringsbeslissing leiden — het theme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Justification</w:t>
      </w:r>
      <w:r>
        <w:rPr>
          <w:rFonts w:ascii="Calibri" w:cs="Calibri" w:eastAsia="Calibri" w:hAnsi="Calibri"/>
          <w:sz w:val="22"/>
          <w:szCs w:val="22"/>
        </w:rPr>
        <w:t xml:space="preserve">. De kernvraag is identiek aan die van PRINCE2's Business Case-practice (deel 3, §2): is dit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wenselijk (desirable), haalbaar (viable) en uitvoerbaar (achievable)</w:t>
      </w:r>
      <w:r>
        <w:rPr>
          <w:rFonts w:ascii="Calibri" w:cs="Calibri" w:eastAsia="Calibri" w:hAnsi="Calibri"/>
          <w:sz w:val="22"/>
          <w:szCs w:val="22"/>
        </w:rPr>
        <w:t xml:space="preserve">? Maar de schaal en het ritme verschillen wezenlijk, en dat is de kern van dit deel.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2. Desirable, viable, achievable — op programmaschaal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 drie testen blijven hetzelfde, maar krijgen op programmaniveau een bredere lading: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Desirable</w:t>
      </w:r>
      <w:r>
        <w:rPr>
          <w:rFonts w:ascii="Calibri" w:cs="Calibri" w:eastAsia="Calibri" w:hAnsi="Calibri"/>
          <w:sz w:val="22"/>
          <w:szCs w:val="22"/>
        </w:rPr>
        <w:t xml:space="preserve"> — weegt niet alleen kosten tegen baten af, maar ook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gepercipieerde waarde</w:t>
      </w:r>
      <w:r>
        <w:rPr>
          <w:rFonts w:ascii="Calibri" w:cs="Calibri" w:eastAsia="Calibri" w:hAnsi="Calibri"/>
          <w:sz w:val="22"/>
          <w:szCs w:val="22"/>
        </w:rPr>
        <w:t xml:space="preserve"> voor uiteenlopende stakeholdergroepen (deel 9, macht/belang-matrix) — een programma dat financieel aantrekkelijk is maar door de organisatie als ongewenst wordt ervaren, mist draagvlak dat een project met een kleinere kring belanghebbenden minder snel nodig heeft.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Viable</w:t>
      </w:r>
      <w:r>
        <w:rPr>
          <w:rFonts w:ascii="Calibri" w:cs="Calibri" w:eastAsia="Calibri" w:hAnsi="Calibri"/>
          <w:sz w:val="22"/>
          <w:szCs w:val="22"/>
        </w:rPr>
        <w:t xml:space="preserve"> — draait om de balans tussen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haalbaarheid en betaalbaarheid</w:t>
      </w:r>
      <w:r>
        <w:rPr>
          <w:rFonts w:ascii="Calibri" w:cs="Calibri" w:eastAsia="Calibri" w:hAnsi="Calibri"/>
          <w:sz w:val="22"/>
          <w:szCs w:val="22"/>
        </w:rPr>
        <w:t xml:space="preserve">: kan de organisatie dit niet alleen technisch, maar ook financieel en organisatorisch volhouden over de looptijd van een programma, die zich vaak over jaren uitstrekt in plaats van maanden?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Achievable</w:t>
      </w:r>
      <w:r>
        <w:rPr>
          <w:rFonts w:ascii="Calibri" w:cs="Calibri" w:eastAsia="Calibri" w:hAnsi="Calibri"/>
          <w:sz w:val="22"/>
          <w:szCs w:val="22"/>
        </w:rPr>
        <w:t xml:space="preserve"> — of de beoogde baten, zoals vastgelegd in de benefits map en de benefit profiles (deel 12), daadwerkelijk realistisch binnen bereik liggen gegeven de enablers en business changes die het programma kan leveren.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3. Waar de programmatische business case uit is opgebouwd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Anders dan PRINCE2's business case, die op zichzelf kan staan, is MSP's business case nadrukkelijk een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samenstelling van andere programmadocumenten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blueprint / target operating model</w:t>
      </w:r>
      <w:r>
        <w:rPr>
          <w:rFonts w:ascii="Calibri" w:cs="Calibri" w:eastAsia="Calibri" w:hAnsi="Calibri"/>
          <w:sz w:val="22"/>
          <w:szCs w:val="22"/>
        </w:rPr>
        <w:t xml:space="preserve"> (Design-theme) — het beoogde toekomstbeeld waar de investering toe leidt.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Het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benefits realisation plan</w:t>
      </w:r>
      <w:r>
        <w:rPr>
          <w:rFonts w:ascii="Calibri" w:cs="Calibri" w:eastAsia="Calibri" w:hAnsi="Calibri"/>
          <w:sz w:val="22"/>
          <w:szCs w:val="22"/>
        </w:rPr>
        <w:t xml:space="preserve"> (deel 12, §5) — de baten die de investering rechtvaardigen, inclusief hun profiles.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Het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risicoregister</w:t>
      </w:r>
      <w:r>
        <w:rPr>
          <w:rFonts w:ascii="Calibri" w:cs="Calibri" w:eastAsia="Calibri" w:hAnsi="Calibri"/>
          <w:sz w:val="22"/>
          <w:szCs w:val="22"/>
        </w:rPr>
        <w:t xml:space="preserve"> — de onzekerheden die de investering kunnen raken (verdiept in deel 18).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resource management strategy en het resource management plan</w:t>
      </w:r>
      <w:r>
        <w:rPr>
          <w:rFonts w:ascii="Calibri" w:cs="Calibri" w:eastAsia="Calibri" w:hAnsi="Calibri"/>
          <w:sz w:val="22"/>
          <w:szCs w:val="22"/>
        </w:rPr>
        <w:t xml:space="preserve"> — wat de investering aan mensen, geld en middelen vergt.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Het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programmaplan</w:t>
      </w:r>
      <w:r>
        <w:rPr>
          <w:rFonts w:ascii="Calibri" w:cs="Calibri" w:eastAsia="Calibri" w:hAnsi="Calibri"/>
          <w:sz w:val="22"/>
          <w:szCs w:val="22"/>
        </w:rPr>
        <w:t xml:space="preserve"> (Structure-theme, tranches — deel 15) — hoe en wanneer de investering wordt uitgegeven.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Dit maakt de programmatische business case tot een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levend knooppunt</w:t>
      </w:r>
      <w:r>
        <w:rPr>
          <w:rFonts w:ascii="Calibri" w:cs="Calibri" w:eastAsia="Calibri" w:hAnsi="Calibri"/>
          <w:sz w:val="22"/>
          <w:szCs w:val="22"/>
        </w:rPr>
        <w:t xml:space="preserve">, niet een op zichzelf staand document: elke wijziging in de blueprint, het benefits-netwerk, de risico's of de planning werkt automatisch door in de vraag of het programma nog steeds gerechtvaardigd is.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4. De investeringsbeslissing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Net als bij PRINCE2 (deel 3, §2) geldt: waar mogelijk worden baten en kosten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gekwantificeerd</w:t>
      </w:r>
      <w:r>
        <w:rPr>
          <w:rFonts w:ascii="Calibri" w:cs="Calibri" w:eastAsia="Calibri" w:hAnsi="Calibri"/>
          <w:sz w:val="22"/>
          <w:szCs w:val="22"/>
        </w:rPr>
        <w:t xml:space="preserve">, zodat er toleranties op gezet kunnen worden (principe 5 uit niveau 1, hier hertaald naar programmaniveau). Het verschil is de tijdshorizon en de mate van onzekerheid: een programma dat zich over meerdere jaren uitstrekt, kan bij de start onmogelijk dezelfde mate van financiële precisie bieden als een project van enkele maanden. Justification accepteert dat expliciet — de business case wordt niet in één keer "af" gemaakt, maar groeit in nauwkeurigheid naarmate het programma vordert en meer informatie beschikbaar komt.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5. Het herijkingsritme: tranches in plaats van fasen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Dit is het belangrijkste verschil met PRINCE2's business case-ontwikkelpad (deel 3, §2: outline → detailed → updated → verified, gekoppeld aan projectfasen). Op programmaniveau gebeurt herijking niet bij faseovergangen, maar bij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tranche-overgangen</w:t>
      </w:r>
      <w:r>
        <w:rPr>
          <w:rFonts w:ascii="Calibri" w:cs="Calibri" w:eastAsia="Calibri" w:hAnsi="Calibri"/>
          <w:sz w:val="22"/>
          <w:szCs w:val="22"/>
        </w:rPr>
        <w:t xml:space="preserve">, via het proces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Evaluate New Information</w:t>
      </w:r>
      <w:r>
        <w:rPr>
          <w:rFonts w:ascii="Calibri" w:cs="Calibri" w:eastAsia="Calibri" w:hAnsi="Calibri"/>
          <w:sz w:val="22"/>
          <w:szCs w:val="22"/>
        </w:rPr>
        <w:t xml:space="preserve"> (deel 11, §7).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Bij elke tranche-evaluatie beoordeelt de sponsoring group, met input van de SRO en de programmamanager, of het programma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nog steeds desirable, viable en achievable is in het licht van nieuwe informatie</w:t>
      </w:r>
      <w:r>
        <w:rPr>
          <w:rFonts w:ascii="Calibri" w:cs="Calibri" w:eastAsia="Calibri" w:hAnsi="Calibri"/>
          <w:sz w:val="22"/>
          <w:szCs w:val="22"/>
        </w:rPr>
        <w:t xml:space="preserve"> — nieuwe risico's, gewijzigde marktomstandigheden, voortgang (of vertraging) in eerdere tranches, veranderde organisatiestrategie. Dit leidt tot een van vier besluiten: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Doorgaan zoals gepland.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 aanpak aanpassen</w:t>
      </w:r>
      <w:r>
        <w:rPr>
          <w:rFonts w:ascii="Calibri" w:cs="Calibri" w:eastAsia="Calibri" w:hAnsi="Calibri"/>
          <w:sz w:val="22"/>
          <w:szCs w:val="22"/>
        </w:rPr>
        <w:t xml:space="preserve"> — bijvoorbeeld de blueprint bijstellen of de resterende tranches herprioriteren.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Pauzeren</w:t>
      </w:r>
      <w:r>
        <w:rPr>
          <w:rFonts w:ascii="Calibri" w:cs="Calibri" w:eastAsia="Calibri" w:hAnsi="Calibri"/>
          <w:sz w:val="22"/>
          <w:szCs w:val="22"/>
        </w:rPr>
        <w:t xml:space="preserve"> — tijdelijk stilleggen zonder het programma definitief te beëindigen.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Vroegtijdig sluiten</w:t>
      </w:r>
      <w:r>
        <w:rPr>
          <w:rFonts w:ascii="Calibri" w:cs="Calibri" w:eastAsia="Calibri" w:hAnsi="Calibri"/>
          <w:sz w:val="22"/>
          <w:szCs w:val="22"/>
        </w:rPr>
        <w:t xml:space="preserve"> — wanneer het programma niet langer waarde toevoegt.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Deze vier opties zijn een directe echo van PRINCE2's principe 1 (ensure continued business justification, deel 2) — maar met meer nuance dan PRINCE2's project-niveau "doorgaan of stoppen": een programma heeft, dankzij zijn langere horizon en cyclische opzet, ook de ruimte om bij te sturen zonder meteen te stoppen.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6. Vergelijking met PRINCE2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PRINCE2 (project)</w:t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MSP (programma)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Kernvraag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Desirable, viable, achievable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Desirable, viable, achievable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Herijkingsmoment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Bij faseovergangen (Managing a Stage Boundary, deel 8)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Bij tranche-overgangen (Evaluate New Information)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Aard van het document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 zichzelf staand, met een vast ontwikkelpad (outline→detailed→updated→verified)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Samengesteld uit andere programmadocumenten, groeit organisch in nauwkeurigheid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Uitkomst bij herijking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Doorgaan of stoppen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Doorgaan, aanpassen, pauzeren, of vroegtijdig sluiten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Eigenaar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Executive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SRO, met input van sponsoring group</w:t>
            </w:r>
          </w:p>
        </w:tc>
      </w:tr>
    </w:tbl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7. Toegepast op het Programma Mutatieplatform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 programmatische business case voor het Programma Mutatieplatform zou onder meer bevatten: de blueprint van de toekomstige mutatieketen (deel 15), de benefits map en profiles uit deel 12 (met de doorlooptijdhalvering als end benefit), een resource-inschatting over de volledige looptijd van meerdere jaren, en een expliciete erkenning dat de eerste tranche (bijvoorbeeld: WGP 2.0 en de kernsysteemkoppeling) meer zekerheid biedt dan latere tranches, waarvan de business case bij elke Evaluate New Information-stap wordt aangescherpt.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8. Vooruitblik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Deel 14 verdiept de programma-organisatie en governance: hoe de sponsoring group, het programmabestuur en de Business Change Manager in de praktijk functioneren, en hoe dat governancegremium zich verhoudt tot het architectuurgremium dat in de EA-cursus is behandeld.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6" w:space="4"/>
      </w:pBdr>
      <w:jc w:val="right"/>
    </w:pPr>
    <w:r>
      <w:rPr>
        <w:rFonts w:ascii="Calibri" w:cs="Calibri" w:eastAsia="Calibri" w:hAnsi="Calibri"/>
        <w:color w:val="2563A8"/>
        <w:sz w:val="16"/>
        <w:szCs w:val="16"/>
      </w:rPr>
      <w:t xml:space="preserve">Project- en Programmamanagement · Niveau 2 Professional · Deel 13 · Reader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2026-08-17T07:40:17.003Z</dcterms:created>
  <dcterms:modified xsi:type="dcterms:W3CDTF">2026-08-17T07:40:17.004Z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