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13 — Business case en investeringsbesluiten op programmaniveau</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13.1 — Desirable, viable, achievable herkennen (individueel, 15 min)</w:t>
      </w:r>
    </w:p>
    <w:p>
      <w:pPr>
        <w:spacing w:after="140" w:line="300"/>
      </w:pPr>
      <w:r>
        <w:rPr>
          <w:rFonts w:ascii="Calibri" w:cs="Calibri" w:eastAsia="Calibri" w:hAnsi="Calibri"/>
          <w:sz w:val="22"/>
          <w:szCs w:val="22"/>
        </w:rPr>
        <w:t xml:space="preserve">Voor elk van de volgende uitspraken over het Programma Mutatieplatform: welke van de drie testen (desirable/viable/achievable) wordt hier het meest direct geraakt?</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 OR heeft grote twijfels of de nieuwe werkwijze wel bij de organisatiecultuur past, ook al zijn de kosten en baten financieel aantrekkelijk.</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 benodigde technische expertise voor de kernsysteemkoppeling is schaars op de arbeidsmarkt en moeilijk in te huren voor de volledige looptijd.</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De beoogde doorlooptijdhalvering blijkt, bij nadere analyse, alleen haalbaar als ook een ander, niet-gepland systeem wordt vervangen.</w:t>
      </w:r>
    </w:p>
    <w:p>
      <w:pPr>
        <w:pStyle w:val="Heading2"/>
        <w:spacing w:after="120" w:before="200"/>
      </w:pPr>
      <w:r>
        <w:rPr>
          <w:rFonts w:ascii="Georgia" w:cs="Georgia" w:eastAsia="Georgia" w:hAnsi="Georgia"/>
          <w:b/>
          <w:bCs/>
          <w:color w:val="2563A8"/>
          <w:sz w:val="28"/>
          <w:szCs w:val="28"/>
        </w:rPr>
        <w:t xml:space="preserve">Opdracht 13.2 — De bouwstenen van de business case (tweetallen, 15 min)</w:t>
      </w:r>
    </w:p>
    <w:p>
      <w:pPr>
        <w:spacing w:after="140" w:line="300"/>
      </w:pPr>
      <w:r>
        <w:rPr>
          <w:rFonts w:ascii="Calibri" w:cs="Calibri" w:eastAsia="Calibri" w:hAnsi="Calibri"/>
          <w:sz w:val="22"/>
          <w:szCs w:val="22"/>
        </w:rPr>
        <w:t xml:space="preserve">Voor elk van de vijf bouwstenen uit reader §3: geef een concreet voorbeeld van hoe een wijziging daarin de programmatische business case van het Programma Mutatieplatform zou kunnen beïnvloeden.</w:t>
      </w:r>
    </w:p>
    <w:p>
      <w:pPr>
        <w:pStyle w:val="Heading2"/>
        <w:spacing w:after="120" w:before="200"/>
      </w:pPr>
      <w:r>
        <w:rPr>
          <w:rFonts w:ascii="Georgia" w:cs="Georgia" w:eastAsia="Georgia" w:hAnsi="Georgia"/>
          <w:b/>
          <w:bCs/>
          <w:color w:val="2563A8"/>
          <w:sz w:val="28"/>
          <w:szCs w:val="28"/>
        </w:rPr>
        <w:t xml:space="preserve">Opdracht 13.3 — Vier besluiten bij Evaluate New Information (klassikaal, 20 min)</w:t>
      </w:r>
    </w:p>
    <w:p>
      <w:pPr>
        <w:spacing w:after="140" w:line="300"/>
      </w:pPr>
      <w:r>
        <w:rPr>
          <w:rFonts w:ascii="Calibri" w:cs="Calibri" w:eastAsia="Calibri" w:hAnsi="Calibri"/>
          <w:sz w:val="22"/>
          <w:szCs w:val="22"/>
        </w:rPr>
        <w:t xml:space="preserve">Voor elk van de volgende scenario's, ontstaan tijdens een tranche-evaluatie van het Programma Mutatieplatform: welk van de vier besluiten (doorgaan/aanpassen/pauzeren/vroegtijdig sluiten) ligt het meest voor de hand, en waarom?</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 eerste tranche is succesvol afgerond, de baten ontwikkelen zich conform verwachting, geen nieuwe risico's van betekenis.</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wetswijziging vereist een aanvullend validatieproces dat niet in de oorspronkelijke blueprint was voorzien.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reorganisatie bij Meridiaan verschuift de strategische prioriteit weg van mutatieverwerking, maar niet definitief.</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Een onafhankelijke evaluatie concludeert dat de beoogde baten, zelfs in het beste scenario, niet meer opwegen tegen de resterende kosten.</w:t>
      </w:r>
    </w:p>
    <w:p>
      <w:pPr>
        <w:pStyle w:val="Heading2"/>
        <w:spacing w:after="120" w:before="200"/>
      </w:pPr>
      <w:r>
        <w:rPr>
          <w:rFonts w:ascii="Georgia" w:cs="Georgia" w:eastAsia="Georgia" w:hAnsi="Georgia"/>
          <w:b/>
          <w:bCs/>
          <w:color w:val="2563A8"/>
          <w:sz w:val="28"/>
          <w:szCs w:val="28"/>
        </w:rPr>
        <w:t xml:space="preserve">Opdracht 13.4 — PRINCE2 versus MSP: de business case (klassikaal, 10 min)</w:t>
      </w:r>
    </w:p>
    <w:p>
      <w:pPr>
        <w:spacing w:after="140" w:line="300"/>
      </w:pPr>
      <w:r>
        <w:rPr>
          <w:rFonts w:ascii="Calibri" w:cs="Calibri" w:eastAsia="Calibri" w:hAnsi="Calibri"/>
          <w:sz w:val="22"/>
          <w:szCs w:val="22"/>
        </w:rPr>
        <w:t xml:space="preserve">Gebruik de vergelijkingstabel uit reader §6 om in eigen woorden uit te leggen: waarom zou het onverstandig zijn om een programma se business case te behandelen alsof het gewoon een grotere versie van een PRINCE2-projectbusinesscase is?</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Reader §4 stelt dat de programmatische business case "niet in één keer af wordt gemaakt, maar groeit in nauwkeurigheid." Wat betekent dat voor de manier waarop een stuurgroep of sponsoring group een programma zou moeten beoordelen bij de allereerste autorisatie — welke mate van onzekerheid zou acceptabel moeten zijn, en welke niet?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2026-08-17T07:40:17.073Z</dcterms:created>
  <dcterms:modified xsi:type="dcterms:W3CDTF">2026-08-17T07:40:17.073Z</dcterms:modified>
</cp:coreProperties>
</file>

<file path=docProps/custom.xml><?xml version="1.0" encoding="utf-8"?>
<Properties xmlns="http://schemas.openxmlformats.org/officeDocument/2006/custom-properties" xmlns:vt="http://schemas.openxmlformats.org/officeDocument/2006/docPropsVTypes"/>
</file>