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14 — Programmaorganisatie en governance</w:t>
      </w:r>
    </w:p>
    <w:p>
      <w:pPr>
        <w:spacing w:after="300"/>
      </w:pPr>
      <w:r>
        <w:rPr>
          <w:rFonts w:ascii="Calibri" w:cs="Calibri" w:eastAsia="Calibri" w:hAnsi="Calibri"/>
          <w:i/>
          <w:iCs/>
          <w:color w:val="2563A8"/>
          <w:sz w:val="22"/>
          <w:szCs w:val="22"/>
        </w:rPr>
        <w:t xml:space="preserve">Niveau 2 Professional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14 (deel 4 van niveau 2)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 drie governancelagen van MSP laten landen als functioneel verschillend van, maar herkenbaar verwant aan, PRINCE2's Organizing-practice — en de koppeling met de architectuurgovernance uit de EA-cursus concreet maken voor deelnemers die beide cursussen volgen (of er in de praktijk mee te maken krijgen).</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13, introductie Organization-theme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lagen: sponsoring group, Programme Board, Programme Office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14.1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SRO vergeleken met Executive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14.2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Hoe programma- en projectgovernance op elkaar aansluiten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14.3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Koppeling met de Architecture Board (reader §5) + opdracht 14.4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 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Vermijd dat "SRO" wordt gepresenteerd als simpelweg "een grotere Executive".</w:t>
      </w:r>
      <w:r>
        <w:rPr>
          <w:rFonts w:ascii="Calibri" w:cs="Calibri" w:eastAsia="Calibri" w:hAnsi="Calibri"/>
          <w:sz w:val="22"/>
          <w:szCs w:val="22"/>
        </w:rPr>
        <w:t xml:space="preserve"> Het kernverschil zit niet in autoriteit maar in schaal van aandacht: een SRO die zich met projectdetails bemoeit, ondermijnt juist de reden waarom er een programmalaag bestaat (deel 11, §2). Opdracht 14.2 is er specifiek op gericht dit onderscheid scherp te krijgen.</w:t>
      </w:r>
    </w:p>
    <w:p>
      <w:pPr>
        <w:pStyle w:val="ListParagraph"/>
        <w:numPr>
          <w:ilvl w:val="0"/>
          <w:numId w:val="1"/>
        </w:numPr>
        <w:spacing w:after="100" w:line="280"/>
      </w:pPr>
      <w:r>
        <w:rPr>
          <w:rFonts w:ascii="Calibri" w:cs="Calibri" w:eastAsia="Calibri" w:hAnsi="Calibri"/>
          <w:b/>
          <w:bCs/>
          <w:sz w:val="22"/>
          <w:szCs w:val="22"/>
        </w:rPr>
        <w:t xml:space="preserve">Bij opdracht 14.3 is het doel dat deelnemers de governance-escalatie expliciet stap voor stap doorlopen</w:t>
      </w:r>
      <w:r>
        <w:rPr>
          <w:rFonts w:ascii="Calibri" w:cs="Calibri" w:eastAsia="Calibri" w:hAnsi="Calibri"/>
          <w:sz w:val="22"/>
          <w:szCs w:val="22"/>
        </w:rPr>
        <w:t xml:space="preserve"> — niet alleen "het gaat naar boven", maar concreet: eerst binnen het project (stuurgroep van WGP 2.0 zelf, niveau 1, deel 3), dan naar de Programme Board zodra de scope het programma raakt, mogelijk naar de sponsoring group als de programmatische business case zelf in het geding komt (deel 13).</w:t>
      </w:r>
    </w:p>
    <w:p>
      <w:pPr>
        <w:pStyle w:val="ListParagraph"/>
        <w:numPr>
          <w:ilvl w:val="0"/>
          <w:numId w:val="1"/>
        </w:numPr>
        <w:spacing w:after="100" w:line="280"/>
      </w:pPr>
      <w:r>
        <w:rPr>
          <w:rFonts w:ascii="Calibri" w:cs="Calibri" w:eastAsia="Calibri" w:hAnsi="Calibri"/>
          <w:b/>
          <w:bCs/>
          <w:sz w:val="22"/>
          <w:szCs w:val="22"/>
        </w:rPr>
        <w:t xml:space="preserve">De koppeling met de Architecture Board (reader §5, opdracht 14.4) is bedoeld als toepassing, niet als volledige herhaling van de architectuurcursus.</w:t>
      </w:r>
      <w:r>
        <w:rPr>
          <w:rFonts w:ascii="Calibri" w:cs="Calibri" w:eastAsia="Calibri" w:hAnsi="Calibri"/>
          <w:sz w:val="22"/>
          <w:szCs w:val="22"/>
        </w:rPr>
        <w:t xml:space="preserve"> Deelnemers die de architectuurcursus niet kennen, kunnen het concept prima op basis van de reader begrijpen — laat de discussie zich richten op het escalatieprincipe (technische aanbevelingen die de scope raken, gaan naar de Programme Board), niet op architectuurinhoudelijke details.</w:t>
      </w:r>
    </w:p>
    <w:p>
      <w:pPr>
        <w:pStyle w:val="ListParagraph"/>
        <w:numPr>
          <w:ilvl w:val="0"/>
          <w:numId w:val="1"/>
        </w:numPr>
        <w:spacing w:after="100" w:line="280"/>
      </w:pPr>
      <w:r>
        <w:rPr>
          <w:rFonts w:ascii="Calibri" w:cs="Calibri" w:eastAsia="Calibri" w:hAnsi="Calibri"/>
          <w:b/>
          <w:bCs/>
          <w:sz w:val="22"/>
          <w:szCs w:val="22"/>
        </w:rPr>
        <w:t xml:space="preserve">Wees alert op een mogelijke makkelijke maar onjuiste aanname bij opdracht 14.4: dat de Architecture Board zelf mag beslissen omdat het "hun expertisegebied" is.</w:t>
      </w:r>
      <w:r>
        <w:rPr>
          <w:rFonts w:ascii="Calibri" w:cs="Calibri" w:eastAsia="Calibri" w:hAnsi="Calibri"/>
          <w:sz w:val="22"/>
          <w:szCs w:val="22"/>
        </w:rPr>
        <w:t xml:space="preserve"> Corrigeer dit expliciet: expertise geeft adviesrecht, niet beslissingsrecht over scope — dat ligt bij de Programme Board, precies zoals Project Assurance in PRINCE2 nooit zelf besluit, alleen toetst en adviseert (niveau 1, deel 3).</w:t>
      </w:r>
    </w:p>
    <w:p>
      <w:pPr>
        <w:pStyle w:val="Heading2"/>
        <w:spacing w:after="120" w:before="200"/>
      </w:pPr>
      <w:r>
        <w:rPr>
          <w:rFonts w:ascii="Georgia" w:cs="Georgia" w:eastAsia="Georgia" w:hAnsi="Georgia"/>
          <w:b/>
          <w:bCs/>
          <w:color w:val="2563A8"/>
          <w:sz w:val="28"/>
          <w:szCs w:val="28"/>
        </w:rPr>
        <w:t xml:space="preserve">Modelantwoorden — Opdracht 14.1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Sponsoring group.</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Programme Office.</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Programme Board (met name de SRO, in overleg met de betreffende BCM).</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Sponsoring group (dit is een richtinggevend besluit bij het opzetten van het programma).</w:t>
      </w:r>
    </w:p>
    <w:p>
      <w:pPr>
        <w:pStyle w:val="Heading2"/>
        <w:spacing w:after="120" w:before="200"/>
      </w:pPr>
      <w:r>
        <w:rPr>
          <w:rFonts w:ascii="Georgia" w:cs="Georgia" w:eastAsia="Georgia" w:hAnsi="Georgia"/>
          <w:b/>
          <w:bCs/>
          <w:color w:val="2563A8"/>
          <w:sz w:val="28"/>
          <w:szCs w:val="28"/>
        </w:rPr>
        <w:t xml:space="preserve">Modelantwoorden — Opdracht 14.2</w:t>
      </w:r>
    </w:p>
    <w:p>
      <w:pPr>
        <w:spacing w:after="140" w:line="300"/>
      </w:pPr>
      <w:r>
        <w:rPr>
          <w:rFonts w:ascii="Calibri" w:cs="Calibri" w:eastAsia="Calibri" w:hAnsi="Calibri"/>
          <w:sz w:val="22"/>
          <w:szCs w:val="22"/>
        </w:rPr>
        <w:t xml:space="preserve">Voorbeelden: (1) een SRO die zich bemoeit met de exacte technische implementatie van de kernsysteemkoppeling — dat is aan de Senior Supplier van dat specifieke project; (2) een SRO die de dagelijkse planning van een enkel Work Package wil goedkeuren — dat is aan de projectmanager/teammanager binnen dat project (niveau 1, deel 8). In beide gevallen: de SRO die dit toch doet, ondermijnt de tussenliggende governancelagen en creëert precies het micromanagement dat manage by exception (niveau 1, deel 2) probeert te voorkomen — nu op programmaschaal.</w:t>
      </w:r>
    </w:p>
    <w:p>
      <w:pPr>
        <w:pStyle w:val="Heading2"/>
        <w:spacing w:after="120" w:before="200"/>
      </w:pPr>
      <w:r>
        <w:rPr>
          <w:rFonts w:ascii="Georgia" w:cs="Georgia" w:eastAsia="Georgia" w:hAnsi="Georgia"/>
          <w:b/>
          <w:bCs/>
          <w:color w:val="2563A8"/>
          <w:sz w:val="28"/>
          <w:szCs w:val="28"/>
        </w:rPr>
        <w:t xml:space="preserve">Modelantwoord — Opdracht 14.3</w:t>
      </w:r>
    </w:p>
    <w:p>
      <w:pPr>
        <w:spacing w:after="140" w:line="300"/>
      </w:pPr>
      <w:r>
        <w:rPr>
          <w:rFonts w:ascii="Calibri" w:cs="Calibri" w:eastAsia="Calibri" w:hAnsi="Calibri"/>
          <w:sz w:val="22"/>
          <w:szCs w:val="22"/>
        </w:rPr>
        <w:t xml:space="preserve">Stap 1: de Executive van WGP 2.0 bespreekt de scopewijziging eerst binnen de eigen projectstuurgroep — past dit nog binnen de projecttoleranties? Stap 2: omdat de wijziging de doorlooptijd van het hele programma kan raken, wordt dit geëscaleerd naar de Programme Board — de SRO en de betrokken BCM beoordelen de impact op de programmatische business case en de andere vier projecten. Stap 3: als de wijziging de kern van de programmatische business case of de strategische prioriteit raakt, wordt dit verder geëscaleerd naar de sponsoring group.</w:t>
      </w:r>
    </w:p>
    <w:p>
      <w:pPr>
        <w:pStyle w:val="Heading2"/>
        <w:spacing w:after="120" w:before="200"/>
      </w:pPr>
      <w:r>
        <w:rPr>
          <w:rFonts w:ascii="Georgia" w:cs="Georgia" w:eastAsia="Georgia" w:hAnsi="Georgia"/>
          <w:b/>
          <w:bCs/>
          <w:color w:val="2563A8"/>
          <w:sz w:val="28"/>
          <w:szCs w:val="28"/>
        </w:rPr>
        <w:t xml:space="preserve">Modelantwoord — Opdracht 14.4</w:t>
      </w:r>
    </w:p>
    <w:p>
      <w:pPr>
        <w:spacing w:after="140" w:line="300"/>
      </w:pPr>
      <w:r>
        <w:rPr>
          <w:rFonts w:ascii="Calibri" w:cs="Calibri" w:eastAsia="Calibri" w:hAnsi="Calibri"/>
          <w:sz w:val="22"/>
          <w:szCs w:val="22"/>
        </w:rPr>
        <w:t xml:space="preserve">Voorbeeldscenario: de Architecture Board adviseert de kernsysteemkoppeling breder op te zetten dan oorspronkelijk gepland, zodat die ook door toekomstige, nog niet geplande projecten herbruikbaar is — dit vergroot echter de scope en het budget van de huidige tranche. De Architecture Board legt deze aanbeveling, met onderbouwing, voor aan de Programme Board (niet aan het individuele project); de Programme Board weegt de aanbeveling af tegen de programmatische business case (deel 13) en beslist of de tranche wordt aangepast, uitgesteld, of dat de aanbeveling wordt afgewezen ten gunste van de oorspronkelijke, kleinere scope.</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Beide patronen zijn in de praktijk voorstelbaar en hangen sterk af van organisatiecultuur; laat deelnemers hun eigen ervaring inbrengen. Een veelvoorkomend patroon in traditioneel hiërarchische organisaties is dat een Programme Board architectuuradviezen negeert totdat ze duur worden — wat pleit voor een expliciet, vroegtijdig escalatiemoment in plaats van architectuur als "achteraf-check" te behandelen.</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"Kan de SRO ook Executive van een van de vijf onderliggende projecten zijn?"</w:t>
      </w:r>
      <w:r>
        <w:rPr>
          <w:rFonts w:ascii="Calibri" w:cs="Calibri" w:eastAsia="Calibri" w:hAnsi="Calibri"/>
          <w:sz w:val="22"/>
          <w:szCs w:val="22"/>
        </w:rPr>
        <w:t xml:space="preserve"> Dat kan, met dezelfde voorzichtigheid als rolcombinaties in PRINCE2 (niveau 1, deel 3, §3): het mag zolang er geen belangenconflict ontstaat, maar bij een programma van deze omvang is aparte bezetting doorgaans verstandiger.</w:t>
      </w:r>
    </w:p>
    <w:p>
      <w:pPr>
        <w:pStyle w:val="ListParagraph"/>
        <w:numPr>
          <w:ilvl w:val="0"/>
          <w:numId w:val="1"/>
        </w:numPr>
        <w:spacing w:after="100" w:line="280"/>
      </w:pPr>
      <w:r>
        <w:rPr>
          <w:rFonts w:ascii="Calibri" w:cs="Calibri" w:eastAsia="Calibri" w:hAnsi="Calibri"/>
          <w:i/>
          <w:iCs/>
          <w:sz w:val="22"/>
          <w:szCs w:val="22"/>
        </w:rPr>
        <w:t xml:space="preserve">"Moet er altijd een Architecture Board naast de Programme Board bestaan?"</w:t>
      </w:r>
      <w:r>
        <w:rPr>
          <w:rFonts w:ascii="Calibri" w:cs="Calibri" w:eastAsia="Calibri" w:hAnsi="Calibri"/>
          <w:sz w:val="22"/>
          <w:szCs w:val="22"/>
        </w:rPr>
        <w:t xml:space="preserve"> Nee — dit is zelf een tailoring-keuze, afhankelijk van hoeveel architecturale samenhang een programma vereist. Bij het Programma Mutatieplatform, met een gedeelde kernsysteemkoppeling over meerdere projecten, is het gerechtvaardigd; bij een programma zonder gedeelde technische componenten is het mogelijk overbodig.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14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2026-08-17T07:40:34.489Z</dcterms:created>
  <dcterms:modified xsi:type="dcterms:W3CDTF">2026-08-17T07:40:34.489Z</dcterms:modified>
</cp:coreProperties>
</file>

<file path=docProps/custom.xml><?xml version="1.0" encoding="utf-8"?>
<Properties xmlns="http://schemas.openxmlformats.org/officeDocument/2006/custom-properties" xmlns:vt="http://schemas.openxmlformats.org/officeDocument/2006/docPropsVTypes"/>
</file>