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14 — Programmaorganisatie en governance</w:t>
      </w:r>
    </w:p>
    <w:p>
      <w:pPr>
        <w:spacing w:after="300"/>
      </w:pPr>
      <w:r>
        <w:rPr>
          <w:rFonts w:ascii="Calibri" w:cs="Calibri" w:eastAsia="Calibri" w:hAnsi="Calibri"/>
          <w:i/>
          <w:iCs/>
          <w:color w:val="2563A8"/>
          <w:sz w:val="22"/>
          <w:szCs w:val="22"/>
        </w:rPr>
        <w:t xml:space="preserve">Niveau 2 Professional · Project- en Programmamanagement</w:t>
      </w:r>
    </w:p>
    <w:p>
      <w:pPr>
        <w:pStyle w:val="Heading2"/>
        <w:spacing w:after="120" w:before="200"/>
      </w:pPr>
      <w:r>
        <w:rPr>
          <w:rFonts w:ascii="Georgia" w:cs="Georgia" w:eastAsia="Georgia" w:hAnsi="Georgia"/>
          <w:b/>
          <w:bCs/>
          <w:color w:val="2563A8"/>
          <w:sz w:val="28"/>
          <w:szCs w:val="28"/>
        </w:rPr>
        <w:t xml:space="preserve">1. Organization: het theme dat structuur geeft aan sturing</w:t>
      </w:r>
    </w:p>
    <w:p>
      <w:pPr>
        <w:spacing w:after="140" w:line="300"/>
      </w:pPr>
      <w:r>
        <w:rPr>
          <w:rFonts w:ascii="Calibri" w:cs="Calibri" w:eastAsia="Calibri" w:hAnsi="Calibri"/>
          <w:sz w:val="22"/>
          <w:szCs w:val="22"/>
        </w:rPr>
        <w:t xml:space="preserve">Het Organization-theme regelt wie welk besluit mag nemen binnen een programma — de programmatische tegenhanger van PRINCE2's Organizing-practice (niveau 1, deel 3). Het theme definieert de governanceboards en ondersteunende bureaus die nodig zijn om, binnen de grenzen van de investerende organisatie(s), zowel de </w:t>
      </w:r>
      <w:r>
        <w:rPr>
          <w:rFonts w:ascii="Calibri" w:cs="Calibri" w:eastAsia="Calibri" w:hAnsi="Calibri"/>
          <w:b/>
          <w:bCs/>
          <w:sz w:val="22"/>
          <w:szCs w:val="22"/>
        </w:rPr>
        <w:t xml:space="preserve">definitie</w:t>
      </w:r>
      <w:r>
        <w:rPr>
          <w:rFonts w:ascii="Calibri" w:cs="Calibri" w:eastAsia="Calibri" w:hAnsi="Calibri"/>
          <w:sz w:val="22"/>
          <w:szCs w:val="22"/>
        </w:rPr>
        <w:t xml:space="preserve"> als de </w:t>
      </w:r>
      <w:r>
        <w:rPr>
          <w:rFonts w:ascii="Calibri" w:cs="Calibri" w:eastAsia="Calibri" w:hAnsi="Calibri"/>
          <w:b/>
          <w:bCs/>
          <w:sz w:val="22"/>
          <w:szCs w:val="22"/>
        </w:rPr>
        <w:t xml:space="preserve">levering</w:t>
      </w:r>
      <w:r>
        <w:rPr>
          <w:rFonts w:ascii="Calibri" w:cs="Calibri" w:eastAsia="Calibri" w:hAnsi="Calibri"/>
          <w:sz w:val="22"/>
          <w:szCs w:val="22"/>
        </w:rPr>
        <w:t xml:space="preserve"> van baten te sturen. Net als bij PRINCE2 geldt: rollen benoemen is niet hetzelfde als een governancestructuur inrichten die daadwerkelijk kan sturen — precies de les van bevinding 2 uit niveau 1, nu op programmaschaal.</w:t>
      </w:r>
    </w:p>
    <w:p>
      <w:pPr>
        <w:pStyle w:val="Heading2"/>
        <w:spacing w:after="120" w:before="200"/>
      </w:pPr>
      <w:r>
        <w:rPr>
          <w:rFonts w:ascii="Georgia" w:cs="Georgia" w:eastAsia="Georgia" w:hAnsi="Georgia"/>
          <w:b/>
          <w:bCs/>
          <w:color w:val="2563A8"/>
          <w:sz w:val="28"/>
          <w:szCs w:val="28"/>
        </w:rPr>
        <w:t xml:space="preserve">2. Drie lagen</w:t>
      </w:r>
    </w:p>
    <w:p>
      <w:pPr>
        <w:pStyle w:val="ListParagraph"/>
        <w:numPr>
          <w:ilvl w:val="0"/>
          <w:numId w:val="1"/>
        </w:numPr>
        <w:spacing w:after="100" w:line="280"/>
      </w:pPr>
      <w:r>
        <w:rPr>
          <w:rFonts w:ascii="Calibri" w:cs="Calibri" w:eastAsia="Calibri" w:hAnsi="Calibri"/>
          <w:b/>
          <w:bCs/>
          <w:sz w:val="22"/>
          <w:szCs w:val="22"/>
        </w:rPr>
        <w:t xml:space="preserve">Sponsoring group</w:t>
      </w:r>
      <w:r>
        <w:rPr>
          <w:rFonts w:ascii="Calibri" w:cs="Calibri" w:eastAsia="Calibri" w:hAnsi="Calibri"/>
          <w:sz w:val="22"/>
          <w:szCs w:val="22"/>
        </w:rPr>
        <w:t xml:space="preserve"> — het governanceniveau met gedelegeerd gezag om het programma te </w:t>
      </w:r>
      <w:r>
        <w:rPr>
          <w:rFonts w:ascii="Calibri" w:cs="Calibri" w:eastAsia="Calibri" w:hAnsi="Calibri"/>
          <w:b/>
          <w:bCs/>
          <w:sz w:val="22"/>
          <w:szCs w:val="22"/>
        </w:rPr>
        <w:t xml:space="preserve">richten</w:t>
      </w:r>
      <w:r>
        <w:rPr>
          <w:rFonts w:ascii="Calibri" w:cs="Calibri" w:eastAsia="Calibri" w:hAnsi="Calibri"/>
          <w:sz w:val="22"/>
          <w:szCs w:val="22"/>
        </w:rPr>
        <w:t xml:space="preserve">. Bestaat uit senior leiders die zelf verantwoording afleggen aan de bestuurders van de investerende organisatie(s). Vergelijkbaar met, maar boven, het corporate/programmaniveau uit PRINCE2's Organizing-practice (niveau 1, deel 3, §3) — dit is nadrukkelijk een orgaan mét eigen gezag, niet slechts een externe partij die af en toe een mandaat afgeeft.</w:t>
      </w:r>
    </w:p>
    <w:p>
      <w:pPr>
        <w:pStyle w:val="ListParagraph"/>
        <w:numPr>
          <w:ilvl w:val="0"/>
          <w:numId w:val="1"/>
        </w:numPr>
        <w:spacing w:after="100" w:line="280"/>
      </w:pPr>
      <w:r>
        <w:rPr>
          <w:rFonts w:ascii="Calibri" w:cs="Calibri" w:eastAsia="Calibri" w:hAnsi="Calibri"/>
          <w:b/>
          <w:bCs/>
          <w:sz w:val="22"/>
          <w:szCs w:val="22"/>
        </w:rPr>
        <w:t xml:space="preserve">Programme Board</w:t>
      </w:r>
      <w:r>
        <w:rPr>
          <w:rFonts w:ascii="Calibri" w:cs="Calibri" w:eastAsia="Calibri" w:hAnsi="Calibri"/>
          <w:sz w:val="22"/>
          <w:szCs w:val="22"/>
        </w:rPr>
        <w:t xml:space="preserve"> — het governanceniveau met gedelegeerd gezag om de </w:t>
      </w:r>
      <w:r>
        <w:rPr>
          <w:rFonts w:ascii="Calibri" w:cs="Calibri" w:eastAsia="Calibri" w:hAnsi="Calibri"/>
          <w:b/>
          <w:bCs/>
          <w:sz w:val="22"/>
          <w:szCs w:val="22"/>
        </w:rPr>
        <w:t xml:space="preserve">levering</w:t>
      </w:r>
      <w:r>
        <w:rPr>
          <w:rFonts w:ascii="Calibri" w:cs="Calibri" w:eastAsia="Calibri" w:hAnsi="Calibri"/>
          <w:sz w:val="22"/>
          <w:szCs w:val="22"/>
        </w:rPr>
        <w:t xml:space="preserve"> van baten aan te sturen, binnen de grenzen die de sponsoring group heeft gesteld. Minimaal bestaand uit:</w:t>
      </w:r>
    </w:p>
    <w:p>
      <w:pPr>
        <w:pStyle w:val="ListParagraph"/>
        <w:numPr>
          <w:ilvl w:val="0"/>
          <w:numId w:val="1"/>
        </w:numPr>
        <w:spacing w:after="100" w:line="280"/>
      </w:pPr>
      <w:r>
        <w:rPr>
          <w:rFonts w:ascii="Calibri" w:cs="Calibri" w:eastAsia="Calibri" w:hAnsi="Calibri"/>
          <w:sz w:val="22"/>
          <w:szCs w:val="22"/>
        </w:rPr>
        <w:t xml:space="preserve">de </w:t>
      </w:r>
      <w:r>
        <w:rPr>
          <w:rFonts w:ascii="Calibri" w:cs="Calibri" w:eastAsia="Calibri" w:hAnsi="Calibri"/>
          <w:b/>
          <w:bCs/>
          <w:sz w:val="22"/>
          <w:szCs w:val="22"/>
        </w:rPr>
        <w:t xml:space="preserve">Senior Responsible Owner (SRO)</w:t>
      </w:r>
      <w:r>
        <w:rPr>
          <w:rFonts w:ascii="Calibri" w:cs="Calibri" w:eastAsia="Calibri" w:hAnsi="Calibri"/>
          <w:sz w:val="22"/>
          <w:szCs w:val="22"/>
        </w:rPr>
        <w:t xml:space="preserve"> — eindverantwoordelijk voor het programma;</w:t>
      </w:r>
    </w:p>
    <w:p>
      <w:pPr>
        <w:pStyle w:val="ListParagraph"/>
        <w:numPr>
          <w:ilvl w:val="0"/>
          <w:numId w:val="1"/>
        </w:numPr>
        <w:spacing w:after="100" w:line="280"/>
      </w:pPr>
      <w:r>
        <w:rPr>
          <w:rFonts w:ascii="Calibri" w:cs="Calibri" w:eastAsia="Calibri" w:hAnsi="Calibri"/>
          <w:sz w:val="22"/>
          <w:szCs w:val="22"/>
        </w:rPr>
        <w:t xml:space="preserve">de </w:t>
      </w:r>
      <w:r>
        <w:rPr>
          <w:rFonts w:ascii="Calibri" w:cs="Calibri" w:eastAsia="Calibri" w:hAnsi="Calibri"/>
          <w:b/>
          <w:bCs/>
          <w:sz w:val="22"/>
          <w:szCs w:val="22"/>
        </w:rPr>
        <w:t xml:space="preserve">Programme Manager</w:t>
      </w:r>
      <w:r>
        <w:rPr>
          <w:rFonts w:ascii="Calibri" w:cs="Calibri" w:eastAsia="Calibri" w:hAnsi="Calibri"/>
          <w:sz w:val="22"/>
          <w:szCs w:val="22"/>
        </w:rPr>
        <w:t xml:space="preserve"> — dagelijkse leiding namens de SRO;</w:t>
      </w:r>
    </w:p>
    <w:p>
      <w:pPr>
        <w:pStyle w:val="ListParagraph"/>
        <w:numPr>
          <w:ilvl w:val="0"/>
          <w:numId w:val="1"/>
        </w:numPr>
        <w:spacing w:after="100" w:line="280"/>
      </w:pPr>
      <w:r>
        <w:rPr>
          <w:rFonts w:ascii="Calibri" w:cs="Calibri" w:eastAsia="Calibri" w:hAnsi="Calibri"/>
          <w:sz w:val="22"/>
          <w:szCs w:val="22"/>
        </w:rPr>
        <w:t xml:space="preserve">de </w:t>
      </w:r>
      <w:r>
        <w:rPr>
          <w:rFonts w:ascii="Calibri" w:cs="Calibri" w:eastAsia="Calibri" w:hAnsi="Calibri"/>
          <w:b/>
          <w:bCs/>
          <w:sz w:val="22"/>
          <w:szCs w:val="22"/>
        </w:rPr>
        <w:t xml:space="preserve">Business Change Manager(s) (BCM)</w:t>
      </w:r>
      <w:r>
        <w:rPr>
          <w:rFonts w:ascii="Calibri" w:cs="Calibri" w:eastAsia="Calibri" w:hAnsi="Calibri"/>
          <w:sz w:val="22"/>
          <w:szCs w:val="22"/>
        </w:rPr>
        <w:t xml:space="preserve"> — verantwoordelijk voor adoptie in de organisatie (niveau 2, deel 11, §6). Bij een programma dat meerdere bedrijfsonderdelen raakt, zoals het Programma Mutatieplatform, kunnen er meerdere BCM's zijn — één per bedrijfsonderdeel dat significant verandert.</w:t>
      </w:r>
    </w:p>
    <w:p>
      <w:pPr>
        <w:pStyle w:val="ListParagraph"/>
        <w:numPr>
          <w:ilvl w:val="0"/>
          <w:numId w:val="1"/>
        </w:numPr>
        <w:spacing w:after="100" w:line="280"/>
      </w:pPr>
      <w:r>
        <w:rPr>
          <w:rFonts w:ascii="Calibri" w:cs="Calibri" w:eastAsia="Calibri" w:hAnsi="Calibri"/>
          <w:b/>
          <w:bCs/>
          <w:sz w:val="22"/>
          <w:szCs w:val="22"/>
        </w:rPr>
        <w:t xml:space="preserve">Programme Office</w:t>
      </w:r>
      <w:r>
        <w:rPr>
          <w:rFonts w:ascii="Calibri" w:cs="Calibri" w:eastAsia="Calibri" w:hAnsi="Calibri"/>
          <w:sz w:val="22"/>
          <w:szCs w:val="22"/>
        </w:rPr>
        <w:t xml:space="preserve"> — de ondersteunende functie, geleid door een </w:t>
      </w:r>
      <w:r>
        <w:rPr>
          <w:rFonts w:ascii="Calibri" w:cs="Calibri" w:eastAsia="Calibri" w:hAnsi="Calibri"/>
          <w:b/>
          <w:bCs/>
          <w:sz w:val="22"/>
          <w:szCs w:val="22"/>
        </w:rPr>
        <w:t xml:space="preserve">programme office lead</w:t>
      </w:r>
      <w:r>
        <w:rPr>
          <w:rFonts w:ascii="Calibri" w:cs="Calibri" w:eastAsia="Calibri" w:hAnsi="Calibri"/>
          <w:sz w:val="22"/>
          <w:szCs w:val="22"/>
        </w:rPr>
        <w:t xml:space="preserve">, primair verantwoordelijk voor beheersing van levering en capaciteit. Vergelijkbaar met Project Support uit PRINCE2 (niveau 1, deel 3, §3), maar dan op programmaschaal, en vaak met een zwaardere rol in capaciteitsplanning over meerdere projecten heen.</w:t>
      </w:r>
    </w:p>
    <w:p>
      <w:pPr>
        <w:pStyle w:val="Heading2"/>
        <w:spacing w:after="120" w:before="200"/>
      </w:pPr>
      <w:r>
        <w:rPr>
          <w:rFonts w:ascii="Georgia" w:cs="Georgia" w:eastAsia="Georgia" w:hAnsi="Georgia"/>
          <w:b/>
          <w:bCs/>
          <w:color w:val="2563A8"/>
          <w:sz w:val="28"/>
          <w:szCs w:val="28"/>
        </w:rPr>
        <w:t xml:space="preserve">3. De SRO vergeleken met de Executive</w:t>
      </w:r>
    </w:p>
    <w:p>
      <w:pPr>
        <w:spacing w:after="140" w:line="300"/>
      </w:pPr>
      <w:r>
        <w:rPr>
          <w:rFonts w:ascii="Calibri" w:cs="Calibri" w:eastAsia="Calibri" w:hAnsi="Calibri"/>
          <w:sz w:val="22"/>
          <w:szCs w:val="22"/>
        </w:rPr>
        <w:t xml:space="preserve">De SRO is verwant aan PRINCE2's Executive (niveau 1, deel 3), maar niet identiek. Waar de Executive eindverantwoordelijk is voor één project en diens business case, is de SRO eindverantwoordelijk voor een programma dat zich over jaren uitstrekt en meerdere projecten omvat, elk met een eigen Executive. Dat betekent: de SRO stuurt niet rechtstreeks op projectdetails, maar op de samenhang, de voortgang van baten, en de vraag of het programma als geheel nog steeds desirable, viable en achievable is (deel 13). Een goede SRO bemoeit zich niet met wat een individuele projectmanager op projectniveau al hoort te beslissen — net zoals een goede Executive zich niet met teammanagement bemoeit (niveau 1, deel 8).</w:t>
      </w:r>
    </w:p>
    <w:p>
      <w:pPr>
        <w:pStyle w:val="Heading2"/>
        <w:spacing w:after="120" w:before="200"/>
      </w:pPr>
      <w:r>
        <w:rPr>
          <w:rFonts w:ascii="Georgia" w:cs="Georgia" w:eastAsia="Georgia" w:hAnsi="Georgia"/>
          <w:b/>
          <w:bCs/>
          <w:color w:val="2563A8"/>
          <w:sz w:val="28"/>
          <w:szCs w:val="28"/>
        </w:rPr>
        <w:t xml:space="preserve">4. Hoe programma- en projectgovernance op elkaar aansluiten</w:t>
      </w:r>
    </w:p>
    <w:p>
      <w:pPr>
        <w:spacing w:after="140" w:line="300"/>
      </w:pPr>
      <w:r>
        <w:rPr>
          <w:rFonts w:ascii="Calibri" w:cs="Calibri" w:eastAsia="Calibri" w:hAnsi="Calibri"/>
          <w:sz w:val="22"/>
          <w:szCs w:val="22"/>
        </w:rPr>
        <w:t xml:space="preserve">Elk project binnen het Programma Mutatieplatform — waaronder de herstart van WGP 2.0 uit niveau 1 — behoudt zijn </w:t>
      </w:r>
      <w:r>
        <w:rPr>
          <w:rFonts w:ascii="Calibri" w:cs="Calibri" w:eastAsia="Calibri" w:hAnsi="Calibri"/>
          <w:b/>
          <w:bCs/>
          <w:sz w:val="22"/>
          <w:szCs w:val="22"/>
        </w:rPr>
        <w:t xml:space="preserve">eigen</w:t>
      </w:r>
      <w:r>
        <w:rPr>
          <w:rFonts w:ascii="Calibri" w:cs="Calibri" w:eastAsia="Calibri" w:hAnsi="Calibri"/>
          <w:sz w:val="22"/>
          <w:szCs w:val="22"/>
        </w:rPr>
        <w:t xml:space="preserve"> PRINCE2-projectorganisatie: een eigen Executive, Senior User, Senior Supplier (niveau 1, deel 3). Het verschil met een standalone project is dat deze projectrollen nu </w:t>
      </w:r>
      <w:r>
        <w:rPr>
          <w:rFonts w:ascii="Calibri" w:cs="Calibri" w:eastAsia="Calibri" w:hAnsi="Calibri"/>
          <w:b/>
          <w:bCs/>
          <w:sz w:val="22"/>
          <w:szCs w:val="22"/>
        </w:rPr>
        <w:t xml:space="preserve">verantwoording afleggen aan het programmaniveau</w:t>
      </w:r>
      <w:r>
        <w:rPr>
          <w:rFonts w:ascii="Calibri" w:cs="Calibri" w:eastAsia="Calibri" w:hAnsi="Calibri"/>
          <w:sz w:val="22"/>
          <w:szCs w:val="22"/>
        </w:rPr>
        <w:t xml:space="preserve">, niet rechtstreeks aan de sponsoring group. Concreet: de Executive van het WGP 2.0-project rapporteert aan de Programme Board, en de programmatische business case (deel 13) omvat en overstijgt de business cases van de vijf individuele projecten.</w:t>
      </w:r>
    </w:p>
    <w:p>
      <w:pPr>
        <w:spacing w:after="140" w:line="300"/>
      </w:pPr>
      <w:r>
        <w:rPr>
          <w:rFonts w:ascii="Calibri" w:cs="Calibri" w:eastAsia="Calibri" w:hAnsi="Calibri"/>
          <w:sz w:val="22"/>
          <w:szCs w:val="22"/>
        </w:rPr>
        <w:t xml:space="preserve">Dit voorkomt een veelvoorkomende faalvorm die het Programma Mutatieplatform juist wil vermijden: vijf projecten die technisch prima worden bestuurd, maar waarvan niemand het geheel bewaakt — precies het probleem dat het onderscheid tussen project en programma (niveau 1, deel 1, §4) motiveerde.</w:t>
      </w:r>
    </w:p>
    <w:p>
      <w:pPr>
        <w:pStyle w:val="Heading2"/>
        <w:spacing w:after="120" w:before="200"/>
      </w:pPr>
      <w:r>
        <w:rPr>
          <w:rFonts w:ascii="Georgia" w:cs="Georgia" w:eastAsia="Georgia" w:hAnsi="Georgia"/>
          <w:b/>
          <w:bCs/>
          <w:color w:val="2563A8"/>
          <w:sz w:val="28"/>
          <w:szCs w:val="28"/>
        </w:rPr>
        <w:t xml:space="preserve">5. Koppeling met architectuurgovernance</w:t>
      </w:r>
    </w:p>
    <w:p>
      <w:pPr>
        <w:spacing w:after="140" w:line="300"/>
      </w:pPr>
      <w:r>
        <w:rPr>
          <w:rFonts w:ascii="Calibri" w:cs="Calibri" w:eastAsia="Calibri" w:hAnsi="Calibri"/>
          <w:sz w:val="22"/>
          <w:szCs w:val="22"/>
        </w:rPr>
        <w:t xml:space="preserve">Binnen het Programma Mutatieplatform is er, naast de programmatische governance uit dit deel, ook een </w:t>
      </w:r>
      <w:r>
        <w:rPr>
          <w:rFonts w:ascii="Calibri" w:cs="Calibri" w:eastAsia="Calibri" w:hAnsi="Calibri"/>
          <w:b/>
          <w:bCs/>
          <w:sz w:val="22"/>
          <w:szCs w:val="22"/>
        </w:rPr>
        <w:t xml:space="preserve">Architecture Board</w:t>
      </w:r>
      <w:r>
        <w:rPr>
          <w:rFonts w:ascii="Calibri" w:cs="Calibri" w:eastAsia="Calibri" w:hAnsi="Calibri"/>
          <w:sz w:val="22"/>
          <w:szCs w:val="22"/>
        </w:rPr>
        <w:t xml:space="preserve"> actief — het gremium dat in de architectuurcursus is uitgewerkt, met een driedelig escalatiemodel voor architectuurbeslissingen. Dat board en de Programme Board hebben verschillende, complementaire taken:</w:t>
      </w:r>
    </w:p>
    <w:p>
      <w:pPr>
        <w:pStyle w:val="ListParagraph"/>
        <w:numPr>
          <w:ilvl w:val="0"/>
          <w:numId w:val="1"/>
        </w:numPr>
        <w:spacing w:after="100" w:line="280"/>
      </w:pPr>
      <w:r>
        <w:rPr>
          <w:rFonts w:ascii="Calibri" w:cs="Calibri" w:eastAsia="Calibri" w:hAnsi="Calibri"/>
          <w:sz w:val="22"/>
          <w:szCs w:val="22"/>
        </w:rPr>
        <w:t xml:space="preserve">De </w:t>
      </w:r>
      <w:r>
        <w:rPr>
          <w:rFonts w:ascii="Calibri" w:cs="Calibri" w:eastAsia="Calibri" w:hAnsi="Calibri"/>
          <w:b/>
          <w:bCs/>
          <w:sz w:val="22"/>
          <w:szCs w:val="22"/>
        </w:rPr>
        <w:t xml:space="preserve">Programme Board</w:t>
      </w:r>
      <w:r>
        <w:rPr>
          <w:rFonts w:ascii="Calibri" w:cs="Calibri" w:eastAsia="Calibri" w:hAnsi="Calibri"/>
          <w:sz w:val="22"/>
          <w:szCs w:val="22"/>
        </w:rPr>
        <w:t xml:space="preserve"> stuurt op baten, business case en voortgang: </w:t>
      </w:r>
      <w:r>
        <w:rPr>
          <w:rFonts w:ascii="Calibri" w:cs="Calibri" w:eastAsia="Calibri" w:hAnsi="Calibri"/>
          <w:i/>
          <w:iCs/>
          <w:sz w:val="22"/>
          <w:szCs w:val="22"/>
        </w:rPr>
        <w:t xml:space="preserve">is dit programma het waard, en levert het wat het moet leveren?</w:t>
      </w:r>
    </w:p>
    <w:p>
      <w:pPr>
        <w:pStyle w:val="ListParagraph"/>
        <w:numPr>
          <w:ilvl w:val="0"/>
          <w:numId w:val="1"/>
        </w:numPr>
        <w:spacing w:after="100" w:line="280"/>
      </w:pPr>
      <w:r>
        <w:rPr>
          <w:rFonts w:ascii="Calibri" w:cs="Calibri" w:eastAsia="Calibri" w:hAnsi="Calibri"/>
          <w:sz w:val="22"/>
          <w:szCs w:val="22"/>
        </w:rPr>
        <w:t xml:space="preserve">De </w:t>
      </w:r>
      <w:r>
        <w:rPr>
          <w:rFonts w:ascii="Calibri" w:cs="Calibri" w:eastAsia="Calibri" w:hAnsi="Calibri"/>
          <w:b/>
          <w:bCs/>
          <w:sz w:val="22"/>
          <w:szCs w:val="22"/>
        </w:rPr>
        <w:t xml:space="preserve">Architecture Board</w:t>
      </w:r>
      <w:r>
        <w:rPr>
          <w:rFonts w:ascii="Calibri" w:cs="Calibri" w:eastAsia="Calibri" w:hAnsi="Calibri"/>
          <w:sz w:val="22"/>
          <w:szCs w:val="22"/>
        </w:rPr>
        <w:t xml:space="preserve"> stuurt op samenhang en kwaliteit van de technische en organisatorische oplossing: </w:t>
      </w:r>
      <w:r>
        <w:rPr>
          <w:rFonts w:ascii="Calibri" w:cs="Calibri" w:eastAsia="Calibri" w:hAnsi="Calibri"/>
          <w:i/>
          <w:iCs/>
          <w:sz w:val="22"/>
          <w:szCs w:val="22"/>
        </w:rPr>
        <w:t xml:space="preserve">is de manier waarop we dit bouwen solide, herbruikbaar en consistent met de rest van de organisatie?</w:t>
      </w:r>
    </w:p>
    <w:p>
      <w:pPr>
        <w:spacing w:after="140" w:line="300"/>
      </w:pPr>
      <w:r>
        <w:rPr>
          <w:rFonts w:ascii="Calibri" w:cs="Calibri" w:eastAsia="Calibri" w:hAnsi="Calibri"/>
          <w:sz w:val="22"/>
          <w:szCs w:val="22"/>
        </w:rPr>
        <w:t xml:space="preserve">In de praktijk werkt de Architecture Board </w:t>
      </w:r>
      <w:r>
        <w:rPr>
          <w:rFonts w:ascii="Calibri" w:cs="Calibri" w:eastAsia="Calibri" w:hAnsi="Calibri"/>
          <w:b/>
          <w:bCs/>
          <w:sz w:val="22"/>
          <w:szCs w:val="22"/>
        </w:rPr>
        <w:t xml:space="preserve">adviserend en toetsend richting de Programme Board</w:t>
      </w:r>
      <w:r>
        <w:rPr>
          <w:rFonts w:ascii="Calibri" w:cs="Calibri" w:eastAsia="Calibri" w:hAnsi="Calibri"/>
          <w:sz w:val="22"/>
          <w:szCs w:val="22"/>
        </w:rPr>
        <w:t xml:space="preserve">, vergelijkbaar met hoe Project Assurance (niveau 1, deel 3) los staat van, maar rapporteert aan, de projectorganisatie. Architectuurbeslissingen die de business case, de scope van een tranche, of de blueprint zelf raken (deel 15), worden geëscaleerd van de Architecture Board naar de Programme Board — niet andersom. Dit voorkomt twee bekende faalpatronen: een Architecture Board die de facto de programmasturing overneemt (scope creep vanuit technische overwegingen), of een Programme Board die architectuurbeslissingen negeert totdat ze onomkeerbaar duur worden om te herstellen.</w:t>
      </w:r>
    </w:p>
    <w:p>
      <w:pPr>
        <w:pStyle w:val="Heading2"/>
        <w:spacing w:after="120" w:before="200"/>
      </w:pPr>
      <w:r>
        <w:rPr>
          <w:rFonts w:ascii="Georgia" w:cs="Georgia" w:eastAsia="Georgia" w:hAnsi="Georgia"/>
          <w:b/>
          <w:bCs/>
          <w:color w:val="2563A8"/>
          <w:sz w:val="28"/>
          <w:szCs w:val="28"/>
        </w:rPr>
        <w:t xml:space="preserve">6. Stakeholder engagement en communicatie</w:t>
      </w:r>
    </w:p>
    <w:p>
      <w:pPr>
        <w:spacing w:after="140" w:line="300"/>
      </w:pPr>
      <w:r>
        <w:rPr>
          <w:rFonts w:ascii="Calibri" w:cs="Calibri" w:eastAsia="Calibri" w:hAnsi="Calibri"/>
          <w:sz w:val="22"/>
          <w:szCs w:val="22"/>
        </w:rPr>
        <w:t xml:space="preserve">Het Organization-theme regelt ook, op hoofdlijnen, hoe stakeholders worden geïdentificeerd en betrokken, en hoe communicatie wordt gepland — een programmabrede toepassing van de macht/belang-matrix uit niveau 1 (deel 9). Dit onderwerp wordt in deel 19 verder uitgediept, met specifieke aandacht voor macht, politiek en het bredere speelveld waarin een programma — anders dan een enkel project — vaak moet opereren.</w:t>
      </w:r>
    </w:p>
    <w:p>
      <w:pPr>
        <w:pStyle w:val="Heading2"/>
        <w:spacing w:after="120" w:before="200"/>
      </w:pPr>
      <w:r>
        <w:rPr>
          <w:rFonts w:ascii="Georgia" w:cs="Georgia" w:eastAsia="Georgia" w:hAnsi="Georgia"/>
          <w:b/>
          <w:bCs/>
          <w:color w:val="2563A8"/>
          <w:sz w:val="28"/>
          <w:szCs w:val="28"/>
        </w:rPr>
        <w:t xml:space="preserve">7. Toegepast op het Programma Mutatieplatform</w:t>
      </w:r>
    </w:p>
    <w:p>
      <w:pPr>
        <w:pStyle w:val="ListParagraph"/>
        <w:numPr>
          <w:ilvl w:val="0"/>
          <w:numId w:val="1"/>
        </w:numPr>
        <w:spacing w:after="100" w:line="280"/>
      </w:pPr>
      <w:r>
        <w:rPr>
          <w:rFonts w:ascii="Calibri" w:cs="Calibri" w:eastAsia="Calibri" w:hAnsi="Calibri"/>
          <w:b/>
          <w:bCs/>
          <w:sz w:val="22"/>
          <w:szCs w:val="22"/>
        </w:rPr>
        <w:t xml:space="preserve">Sponsoring group</w:t>
      </w:r>
      <w:r>
        <w:rPr>
          <w:rFonts w:ascii="Calibri" w:cs="Calibri" w:eastAsia="Calibri" w:hAnsi="Calibri"/>
          <w:sz w:val="22"/>
          <w:szCs w:val="22"/>
        </w:rPr>
        <w:t xml:space="preserve">: de directie van Meridiaan, inclusief de CFO (vanwege de investeringsomvang) en het hoofd Klantcontact (vanwege de organisatorische impact).</w:t>
      </w:r>
    </w:p>
    <w:p>
      <w:pPr>
        <w:pStyle w:val="ListParagraph"/>
        <w:numPr>
          <w:ilvl w:val="0"/>
          <w:numId w:val="1"/>
        </w:numPr>
        <w:spacing w:after="100" w:line="280"/>
      </w:pPr>
      <w:r>
        <w:rPr>
          <w:rFonts w:ascii="Calibri" w:cs="Calibri" w:eastAsia="Calibri" w:hAnsi="Calibri"/>
          <w:b/>
          <w:bCs/>
          <w:sz w:val="22"/>
          <w:szCs w:val="22"/>
        </w:rPr>
        <w:t xml:space="preserve">Programme Board</w:t>
      </w:r>
      <w:r>
        <w:rPr>
          <w:rFonts w:ascii="Calibri" w:cs="Calibri" w:eastAsia="Calibri" w:hAnsi="Calibri"/>
          <w:sz w:val="22"/>
          <w:szCs w:val="22"/>
        </w:rPr>
        <w:t xml:space="preserve">: een SRO uit de directie, de programmamanager, en twee BCM's — één voor Klantcontact, één voor IT-beheer, omdat beide bedrijfsonderdelen significant veranderen.</w:t>
      </w:r>
    </w:p>
    <w:p>
      <w:pPr>
        <w:pStyle w:val="ListParagraph"/>
        <w:numPr>
          <w:ilvl w:val="0"/>
          <w:numId w:val="1"/>
        </w:numPr>
        <w:spacing w:after="100" w:line="280"/>
      </w:pPr>
      <w:r>
        <w:rPr>
          <w:rFonts w:ascii="Calibri" w:cs="Calibri" w:eastAsia="Calibri" w:hAnsi="Calibri"/>
          <w:b/>
          <w:bCs/>
          <w:sz w:val="22"/>
          <w:szCs w:val="22"/>
        </w:rPr>
        <w:t xml:space="preserve">Programme Office</w:t>
      </w:r>
      <w:r>
        <w:rPr>
          <w:rFonts w:ascii="Calibri" w:cs="Calibri" w:eastAsia="Calibri" w:hAnsi="Calibri"/>
          <w:sz w:val="22"/>
          <w:szCs w:val="22"/>
        </w:rPr>
        <w:t xml:space="preserve">: een klein team dat capaciteit over de vijf projecten heen bewaakt, inclusief het signaleren van resourceconflicten tussen bijvoorbeeld de WGP 2.0-herstart en de kernsysteemkoppeling.</w:t>
      </w:r>
    </w:p>
    <w:p>
      <w:pPr>
        <w:pStyle w:val="ListParagraph"/>
        <w:numPr>
          <w:ilvl w:val="0"/>
          <w:numId w:val="1"/>
        </w:numPr>
        <w:spacing w:after="100" w:line="280"/>
      </w:pPr>
      <w:r>
        <w:rPr>
          <w:rFonts w:ascii="Calibri" w:cs="Calibri" w:eastAsia="Calibri" w:hAnsi="Calibri"/>
          <w:b/>
          <w:bCs/>
          <w:sz w:val="22"/>
          <w:szCs w:val="22"/>
        </w:rPr>
        <w:t xml:space="preserve">Architecture Board</w:t>
      </w:r>
      <w:r>
        <w:rPr>
          <w:rFonts w:ascii="Calibri" w:cs="Calibri" w:eastAsia="Calibri" w:hAnsi="Calibri"/>
          <w:sz w:val="22"/>
          <w:szCs w:val="22"/>
        </w:rPr>
        <w:t xml:space="preserve">: adviseert de Programme Board over de technische samenhang tussen de vijf projecten, met name waar de kernsysteemkoppeling (gedeeld door meerdere projecten) architecturale keuzes vergt die niet aan één project alleen mogen worden overgelaten.</w:t>
      </w:r>
    </w:p>
    <w:p>
      <w:pPr>
        <w:pStyle w:val="Heading2"/>
        <w:spacing w:after="120" w:before="200"/>
      </w:pPr>
      <w:r>
        <w:rPr>
          <w:rFonts w:ascii="Georgia" w:cs="Georgia" w:eastAsia="Georgia" w:hAnsi="Georgia"/>
          <w:b/>
          <w:bCs/>
          <w:color w:val="2563A8"/>
          <w:sz w:val="28"/>
          <w:szCs w:val="28"/>
        </w:rPr>
        <w:t xml:space="preserve">8. Vooruitblik</w:t>
      </w:r>
    </w:p>
    <w:p>
      <w:pPr>
        <w:spacing w:after="140" w:line="300"/>
      </w:pPr>
      <w:r>
        <w:rPr>
          <w:rFonts w:ascii="Calibri" w:cs="Calibri" w:eastAsia="Calibri" w:hAnsi="Calibri"/>
          <w:sz w:val="22"/>
          <w:szCs w:val="22"/>
        </w:rPr>
        <w:t xml:space="preserve">Deel 15 behandelt, over twee dagdelen, de themes Design en Structure: hoe de blueprint (het target operating model) wordt opgesteld, en hoe die vervolgens wordt vertaald naar tranches — de bouwstenen waarmee het Programma Mutatieplatform stapsgewijs wordt gerealiseerd.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2 Professional · Deel 14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2026-08-17T07:40:34.415Z</dcterms:created>
  <dcterms:modified xsi:type="dcterms:W3CDTF">2026-08-17T07:40:34.416Z</dcterms:modified>
</cp:coreProperties>
</file>

<file path=docProps/custom.xml><?xml version="1.0" encoding="utf-8"?>
<Properties xmlns="http://schemas.openxmlformats.org/officeDocument/2006/custom-properties" xmlns:vt="http://schemas.openxmlformats.org/officeDocument/2006/docPropsVTypes"/>
</file>