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14 — Programmaorganisatie en governance</w:t>
      </w:r>
    </w:p>
    <w:p>
      <w:pPr>
        <w:spacing w:after="300"/>
      </w:pPr>
      <w:r>
        <w:rPr>
          <w:rFonts w:ascii="Calibri" w:cs="Calibri" w:eastAsia="Calibri" w:hAnsi="Calibri"/>
          <w:i/>
          <w:iCs/>
          <w:color w:val="2563A8"/>
          <w:sz w:val="22"/>
          <w:szCs w:val="22"/>
        </w:rPr>
        <w:t xml:space="preserve">Niveau 2 Professional · Project- en Programmamanagement</w:t>
      </w:r>
    </w:p>
    <w:p>
      <w:pPr>
        <w:pStyle w:val="Heading2"/>
        <w:spacing w:after="120" w:before="200"/>
      </w:pPr>
      <w:r>
        <w:rPr>
          <w:rFonts w:ascii="Georgia" w:cs="Georgia" w:eastAsia="Georgia" w:hAnsi="Georgia"/>
          <w:b/>
          <w:bCs/>
          <w:color w:val="2563A8"/>
          <w:sz w:val="28"/>
          <w:szCs w:val="28"/>
        </w:rPr>
        <w:t xml:space="preserve">Opdracht 14.1 — Sponsoring group, Programme Board, of Programme Office? (individueel, 10 min)</w:t>
      </w:r>
    </w:p>
    <w:p>
      <w:pPr>
        <w:spacing w:after="140" w:line="300"/>
      </w:pPr>
      <w:r>
        <w:rPr>
          <w:rFonts w:ascii="Calibri" w:cs="Calibri" w:eastAsia="Calibri" w:hAnsi="Calibri"/>
          <w:sz w:val="22"/>
          <w:szCs w:val="22"/>
        </w:rPr>
        <w:t xml:space="preserve">Voor elk van de volgende besluiten of taken bij het Programma Mutatieplatform: welk governanceniveau is hiervoor verantwoordelijk?</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Beoordelen of het programma als geheel nog steeds strategisch prioriteit verdient binnen Meridiaan.</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Signaleren dat twee projecten binnen het programma dezelfde technische specialisten nodig hebben in dezelfde week.</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Besluiten of de BCM voor Klantcontact voldoende mandaat heeft om een procesverandering door te voeren.</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Vaststellen welke bedrijfsonderdelen bij de start van het programma vertegenwoordigd moeten zijn.</w:t>
      </w:r>
    </w:p>
    <w:p>
      <w:pPr>
        <w:pStyle w:val="Heading2"/>
        <w:spacing w:after="120" w:before="200"/>
      </w:pPr>
      <w:r>
        <w:rPr>
          <w:rFonts w:ascii="Georgia" w:cs="Georgia" w:eastAsia="Georgia" w:hAnsi="Georgia"/>
          <w:b/>
          <w:bCs/>
          <w:color w:val="2563A8"/>
          <w:sz w:val="28"/>
          <w:szCs w:val="28"/>
        </w:rPr>
        <w:t xml:space="preserve">Opdracht 14.2 — SRO versus Executive (tweetallen, 15 min)</w:t>
      </w:r>
    </w:p>
    <w:p>
      <w:pPr>
        <w:spacing w:after="140" w:line="300"/>
      </w:pPr>
      <w:r>
        <w:rPr>
          <w:rFonts w:ascii="Calibri" w:cs="Calibri" w:eastAsia="Calibri" w:hAnsi="Calibri"/>
          <w:sz w:val="22"/>
          <w:szCs w:val="22"/>
        </w:rPr>
        <w:t xml:space="preserve">Beschrijf, in eigen woorden en met een concreet voorbeeld uit het Programma Mutatieplatform, twee situaties waarin een SRO zich juist NIET zou moeten bemoeien met iets dat wél bij een projectmatige Executive zou passen — en waarom niet.</w:t>
      </w:r>
    </w:p>
    <w:p>
      <w:pPr>
        <w:pStyle w:val="Heading2"/>
        <w:spacing w:after="120" w:before="200"/>
      </w:pPr>
      <w:r>
        <w:rPr>
          <w:rFonts w:ascii="Georgia" w:cs="Georgia" w:eastAsia="Georgia" w:hAnsi="Georgia"/>
          <w:b/>
          <w:bCs/>
          <w:color w:val="2563A8"/>
          <w:sz w:val="28"/>
          <w:szCs w:val="28"/>
        </w:rPr>
        <w:t xml:space="preserve">Opdracht 14.3 — Programma- en projectgovernance op elkaar aansluiten (klassikaal, 15 min)</w:t>
      </w:r>
    </w:p>
    <w:p>
      <w:pPr>
        <w:spacing w:after="140" w:line="300"/>
      </w:pPr>
      <w:r>
        <w:rPr>
          <w:rFonts w:ascii="Calibri" w:cs="Calibri" w:eastAsia="Calibri" w:hAnsi="Calibri"/>
          <w:sz w:val="22"/>
          <w:szCs w:val="22"/>
        </w:rPr>
        <w:t xml:space="preserve">De Executive van de herstart van WGP 2.0 (niveau 1) wil een aanzienlijke scopewijziging doorvoeren die de doorlooptijd van het hele Programma Mutatieplatform zou kunnen beïnvloeden. Beschrijf, stap voor stap, welk governanceniveau hierbij betrokken zou moeten raken en waarom — gebruik reader §4.</w:t>
      </w:r>
    </w:p>
    <w:p>
      <w:pPr>
        <w:pStyle w:val="Heading2"/>
        <w:spacing w:after="120" w:before="200"/>
      </w:pPr>
      <w:r>
        <w:rPr>
          <w:rFonts w:ascii="Georgia" w:cs="Georgia" w:eastAsia="Georgia" w:hAnsi="Georgia"/>
          <w:b/>
          <w:bCs/>
          <w:color w:val="2563A8"/>
          <w:sz w:val="28"/>
          <w:szCs w:val="28"/>
        </w:rPr>
        <w:t xml:space="preserve">Opdracht 14.4 — Programme Board en Architecture Board (klassikaal, 15 min)</w:t>
      </w:r>
    </w:p>
    <w:p>
      <w:pPr>
        <w:spacing w:after="140" w:line="300"/>
      </w:pPr>
      <w:r>
        <w:rPr>
          <w:rFonts w:ascii="Calibri" w:cs="Calibri" w:eastAsia="Calibri" w:hAnsi="Calibri"/>
          <w:sz w:val="22"/>
          <w:szCs w:val="22"/>
        </w:rPr>
        <w:t xml:space="preserve">Bedenk een scenario waarin de Architecture Board een technische aanbeveling doet die de scope van een lopende tranche zou vergroten. Beschrijf, aan de hand van reader §5, hoe dit zou moeten worden geëscaleerd, en welk governanceorgaan uiteindelijk beslist.</w:t>
      </w:r>
    </w:p>
    <w:p>
      <w:pPr>
        <w:pStyle w:val="Heading2"/>
        <w:spacing w:after="120" w:before="200"/>
      </w:pPr>
      <w:r>
        <w:rPr>
          <w:rFonts w:ascii="Georgia" w:cs="Georgia" w:eastAsia="Georgia" w:hAnsi="Georgia"/>
          <w:b/>
          <w:bCs/>
          <w:color w:val="2563A8"/>
          <w:sz w:val="28"/>
          <w:szCs w:val="28"/>
        </w:rPr>
        <w:t xml:space="preserve">Reflectievraag (afsluitend)</w:t>
      </w:r>
    </w:p>
    <w:p>
      <w:pPr>
        <w:spacing w:after="140" w:line="300"/>
      </w:pPr>
      <w:r>
        <w:rPr>
          <w:rFonts w:ascii="Calibri" w:cs="Calibri" w:eastAsia="Calibri" w:hAnsi="Calibri"/>
          <w:sz w:val="22"/>
          <w:szCs w:val="22"/>
        </w:rPr>
        <w:t xml:space="preserve">Reader §5 noemt twee faalpatronen: een Architecture Board die de facto de programmasturing overneemt, en een Programme Board die architectuurbeslissingen negeert totdat ze duur worden om te herstellen. Welke van deze twee patronen lijkt jou, uit eigen ervaring of intuïtie, waarschijnlijker in een organisatie als Meridiaan — en wat zou dat zeggen over waar extra aandacht nodig is bij het inrichten van deze governance?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2 Professional · Deel 14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2026-08-17T07:40:34.468Z</dcterms:created>
  <dcterms:modified xsi:type="dcterms:W3CDTF">2026-08-17T07:40:34.468Z</dcterms:modified>
</cp:coreProperties>
</file>

<file path=docProps/custom.xml><?xml version="1.0" encoding="utf-8"?>
<Properties xmlns="http://schemas.openxmlformats.org/officeDocument/2006/custom-properties" xmlns:vt="http://schemas.openxmlformats.org/officeDocument/2006/docPropsVTypes"/>
</file>