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15 — Design en Structure: blueprint en tranches (twee dagdelen)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2 Professional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Dagdelen:</w:t>
      </w:r>
      <w:r>
        <w:rPr>
          <w:rFonts w:ascii="Calibri" w:cs="Calibri" w:eastAsia="Calibri" w:hAnsi="Calibri"/>
          <w:sz w:val="22"/>
          <w:szCs w:val="22"/>
        </w:rPr>
        <w:t xml:space="preserve"> 15a en 15b (deel 5 van niveau 2, twee dagdelen)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 per dagdeel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Design en Structure niet als twee losse themes behandelen, maar als één samenhangend geheel — de blueprint bepaalt wát er moet gebeuren, tranches bepalen in welke stappen. De praktijkoefening (opdracht 15.3) is het zwaartepunt van dagdeel 15b.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— Dagdeel 15a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deel 14, introductie: het "wat" en het "hoe gefaseerd"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Design: de visie, en waarom die kort en extern gericht blijft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0:30–0:45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15.1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Design: de blueprint, het POTI-model, gap-analyse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1:20–2:00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15.2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2:00–2:25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Korte plenaire vergelijking van blueprints tussen tweetallen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Vooruitblik dagdeel 15b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 — Dagdeel 15b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dagdeel 15a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Structure: de logica van tranches, drie redenen (reader §4)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0:40–0:55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Programme Plan en Projects Dossier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0:55–1:10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1:10–2:00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15.3 — de kernoefening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Groepswerk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2:00–2:10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Plenaire vergelijking van tranche-indelingen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Tranche Review (reader §5) + opdracht 15.4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 + 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Vooruitblik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15.1 is (a) de instinker.</w:t>
      </w:r>
      <w:r>
        <w:rPr>
          <w:rFonts w:ascii="Calibri" w:cs="Calibri" w:eastAsia="Calibri" w:hAnsi="Calibri"/>
          <w:sz w:val="22"/>
          <w:szCs w:val="22"/>
        </w:rPr>
        <w:t xml:space="preserve"> "Deelnemers vertrouwen erop dat hun pensioenoverzicht altijd klopt" klínkt specifiek, maar is precies het soort aspirationele, korte statement dat in een vision statement thuishoort — leg uit dat het ontbreken van projectdetails of techniek hier het onderscheidende kenmerk is, niet de lengte of toon.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15.2 (POTI) is de meest voorkomende fout dat groepen alleen de Technology-dimensie invullen en de andere drie overslaan.</w:t>
      </w:r>
      <w:r>
        <w:rPr>
          <w:rFonts w:ascii="Calibri" w:cs="Calibri" w:eastAsia="Calibri" w:hAnsi="Calibri"/>
          <w:sz w:val="22"/>
          <w:szCs w:val="22"/>
        </w:rPr>
        <w:t xml:space="preserve"> Stuur hier actief op: vraag expliciet door bij Organization ("wie doet dit werk straks anders?") en Information ("welke data is hiervoor nodig, en waar komt die nu vandaan?").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Opdracht 15.3 is bewust ontworpen zonder één "juiste" indeling.</w:t>
      </w:r>
      <w:r>
        <w:rPr>
          <w:rFonts w:ascii="Calibri" w:cs="Calibri" w:eastAsia="Calibri" w:hAnsi="Calibri"/>
          <w:sz w:val="22"/>
          <w:szCs w:val="22"/>
        </w:rPr>
        <w:t xml:space="preserve"> Verschillende groepen zullen tot verschillende, beide verdedigbare tranche-indelingen komen — dat is het punt. Focus de nabespreking op de kwaliteit van de argumentatie (afhankelijkheden, absorptievermogen, zichtbare tussenstap), niet op welke indeling "het beste" is.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de vertraging in opdracht 15.4 is het verleidelijk meteen naar "pauzeren" of "vroegtijdig sluiten" te grijpen.</w:t>
      </w:r>
      <w:r>
        <w:rPr>
          <w:rFonts w:ascii="Calibri" w:cs="Calibri" w:eastAsia="Calibri" w:hAnsi="Calibri"/>
          <w:sz w:val="22"/>
          <w:szCs w:val="22"/>
        </w:rPr>
        <w:t xml:space="preserve"> Laat zien dat een vertraging van twee maanden op zichzelf vaak eerder aanleiding is voor "aanpassen" (de tranchegrenzen of -volgorde herzien) dan voor de zwaardere opties — leer deelnemers de ernst van een afwijking eerst op waarde te schatten voordat ze een besluitcategorie kiezen.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15.1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Vision statement — kort, aspirationeel, geen projectdetail.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Blueprint (Technology-dimensie).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Geen van beide — dit hoort in de business case (deel 13).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Blueprint (Organization-dimensie).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15.2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Voorbeeld (andere, even valide antwoorden mogelijk):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Processes: van reactief (deelnemer moet zelf aanvragen) naar proactief (systeem signaleert en informeert).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Organization: een nieuw, klein team dat signaleringen beoordeelt en opvolgt, waar dit voorheen niet bestond.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Technology: een signaleringsalgoritme gekoppeld aan bestaande deelnemersdata en externe bronnen.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Information: nieuwe, extern geverifieerde gegevens over rechten worden voor het eerst structureel gebruikt in plaats van uitsluitend eigen administratie.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15.3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Geen uniek antwoord; een sterke indeling zou er ongeveer zo uit kunnen zien: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Tranche 1: de juridische toets (2) en de koppeling met externe bronnen (5) — noodzakelijke basis, laag risico voor de organisatie om mee te beginnen, geen directe impact op medewerkers of deelnemers.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Tranche 2: het algoritme (1) en de communicatiestroom (3) — bouwt op tranche 1, eerste zichtbare output naar deelnemers.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Tranche 3: training (4) en de evaluatiemodule (6) — bewust laat, zodat de afdeling pas wordt getraind op een systeem dat al functioneert, en verbetering plaatsvindt op basis van echte ervaring in plaats van aannames.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Opdracht 15.4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Mogelijke vragen: (1) is de vertraging eenmalig of wijst die op een structureel probleem met de leverancier of aanpak (relevant voor "aanpassen" versus "doorgaan")? (2) heeft de vertraging gevolgen voor de business case van tranche 2 zelf, of alleen voor de planning? (3) is er reden om tranche 2 te herstructureren zodat niet-afhankelijke onderdelen alvast kunnen starten? (4) is er, gegeven deze vertraging, aanleiding om de hele tranchevolgorde te heroverwegen, of blijft de oorspronkelijke structuur overeind?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Reflectievraag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Antwoorden zullen verschillen; stuur de discussie richting het onderkennen dat technische gereedheid en organisatorische gereedheid twee losse variabelen zijn — een tranche-indeling die alleen naar technische afhankelijkheden kijkt (zoals in opdracht 15.3 sub a) mist de tweede variabele, met als gevolg weerstand of onderbenutting ondanks een technisch geslaagde levering.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"Hoeveel tranches heeft een programma meestal?"</w:t>
      </w:r>
      <w:r>
        <w:rPr>
          <w:rFonts w:ascii="Calibri" w:cs="Calibri" w:eastAsia="Calibri" w:hAnsi="Calibri"/>
          <w:sz w:val="22"/>
          <w:szCs w:val="22"/>
        </w:rPr>
        <w:t xml:space="preserve"> Dat varieert sterk met omvang en complexiteit — er is geen vast aantal; de indeling volgt uit betekenisvolle stapveranderingen, niet uit een vooraf vastgesteld schema.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"Wordt de blueprint pas ná Design the Outcomes vastgesteld, of blijft die de hele looptijd hetzelfde?"</w:t>
      </w:r>
      <w:r>
        <w:rPr>
          <w:rFonts w:ascii="Calibri" w:cs="Calibri" w:eastAsia="Calibri" w:hAnsi="Calibri"/>
          <w:sz w:val="22"/>
          <w:szCs w:val="22"/>
        </w:rPr>
        <w:t xml:space="preserve"> De blueprint wordt voor het eerst uitgewerkt tijdens Design the Outcomes (deel 11, §7), maar wordt bij elke tranche herzien — net als de business case is dit een levend document, geen eenmalig vastgesteld ontwerp.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2 Professional · Deel 15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2026-08-17T07:42:35.091Z</dcterms:created>
  <dcterms:modified xsi:type="dcterms:W3CDTF">2026-08-17T07:42:35.091Z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