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15 — Design en Structure: blueprint en tranches (twee dagdelen)</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1. Het "wat" en het "hoe gefaseerd"</w:t>
      </w:r>
    </w:p>
    <w:p>
      <w:pPr>
        <w:spacing w:after="140" w:line="300"/>
      </w:pPr>
      <w:r>
        <w:rPr>
          <w:rFonts w:ascii="Calibri" w:cs="Calibri" w:eastAsia="Calibri" w:hAnsi="Calibri"/>
          <w:sz w:val="22"/>
          <w:szCs w:val="22"/>
        </w:rPr>
        <w:t xml:space="preserve">Dit deel behandelt twee nauw verweven themes: </w:t>
      </w:r>
      <w:r>
        <w:rPr>
          <w:rFonts w:ascii="Calibri" w:cs="Calibri" w:eastAsia="Calibri" w:hAnsi="Calibri"/>
          <w:b/>
          <w:bCs/>
          <w:sz w:val="22"/>
          <w:szCs w:val="22"/>
        </w:rPr>
        <w:t xml:space="preserve">Design</w:t>
      </w:r>
      <w:r>
        <w:rPr>
          <w:rFonts w:ascii="Calibri" w:cs="Calibri" w:eastAsia="Calibri" w:hAnsi="Calibri"/>
          <w:sz w:val="22"/>
          <w:szCs w:val="22"/>
        </w:rPr>
        <w:t xml:space="preserve"> (wat het programma uiteindelijk moet opleveren — het toekomstbeeld) en </w:t>
      </w:r>
      <w:r>
        <w:rPr>
          <w:rFonts w:ascii="Calibri" w:cs="Calibri" w:eastAsia="Calibri" w:hAnsi="Calibri"/>
          <w:b/>
          <w:bCs/>
          <w:sz w:val="22"/>
          <w:szCs w:val="22"/>
        </w:rPr>
        <w:t xml:space="preserve">Structure</w:t>
      </w:r>
      <w:r>
        <w:rPr>
          <w:rFonts w:ascii="Calibri" w:cs="Calibri" w:eastAsia="Calibri" w:hAnsi="Calibri"/>
          <w:sz w:val="22"/>
          <w:szCs w:val="22"/>
        </w:rPr>
        <w:t xml:space="preserve"> (hoe dat toekomstbeeld stapsgewijs, in tranches, wordt gerealiseerd). Samen vormen ze de brug tussen de baten uit deel 12, de business case uit deel 13, en de daadwerkelijke uitvoering die vanaf deel 16 aan bod komt.</w:t>
      </w:r>
    </w:p>
    <w:p>
      <w:pPr>
        <w:pStyle w:val="Heading2"/>
        <w:spacing w:after="120" w:before="200"/>
      </w:pPr>
      <w:r>
        <w:rPr>
          <w:rFonts w:ascii="Georgia" w:cs="Georgia" w:eastAsia="Georgia" w:hAnsi="Georgia"/>
          <w:b/>
          <w:bCs/>
          <w:color w:val="2563A8"/>
          <w:sz w:val="28"/>
          <w:szCs w:val="28"/>
        </w:rPr>
        <w:t xml:space="preserve">2. Design: de visie</w:t>
      </w:r>
    </w:p>
    <w:p>
      <w:pPr>
        <w:spacing w:after="140" w:line="300"/>
      </w:pPr>
      <w:r>
        <w:rPr>
          <w:rFonts w:ascii="Calibri" w:cs="Calibri" w:eastAsia="Calibri" w:hAnsi="Calibri"/>
          <w:sz w:val="22"/>
          <w:szCs w:val="22"/>
        </w:rPr>
        <w:t xml:space="preserve">Een </w:t>
      </w:r>
      <w:r>
        <w:rPr>
          <w:rFonts w:ascii="Calibri" w:cs="Calibri" w:eastAsia="Calibri" w:hAnsi="Calibri"/>
          <w:b/>
          <w:bCs/>
          <w:sz w:val="22"/>
          <w:szCs w:val="22"/>
        </w:rPr>
        <w:t xml:space="preserve">vision statement</w:t>
      </w:r>
      <w:r>
        <w:rPr>
          <w:rFonts w:ascii="Calibri" w:cs="Calibri" w:eastAsia="Calibri" w:hAnsi="Calibri"/>
          <w:sz w:val="22"/>
          <w:szCs w:val="22"/>
        </w:rPr>
        <w:t xml:space="preserve"> is kort, naar buiten gericht, en beschrijft een aansprekend, herkenbaar toekomstbeeld dat stakeholders aanspreekt en richting geeft. Belangrijk: de visie bevat nadrukkelijk </w:t>
      </w:r>
      <w:r>
        <w:rPr>
          <w:rFonts w:ascii="Calibri" w:cs="Calibri" w:eastAsia="Calibri" w:hAnsi="Calibri"/>
          <w:b/>
          <w:bCs/>
          <w:sz w:val="22"/>
          <w:szCs w:val="22"/>
        </w:rPr>
        <w:t xml:space="preserve">geen</w:t>
      </w:r>
      <w:r>
        <w:rPr>
          <w:rFonts w:ascii="Calibri" w:cs="Calibri" w:eastAsia="Calibri" w:hAnsi="Calibri"/>
          <w:sz w:val="22"/>
          <w:szCs w:val="22"/>
        </w:rPr>
        <w:t xml:space="preserve"> gedetailleerde projectenlijst, financiële onderbouwing of operationeel detail — dat hoort thuis in respectievelijk het programmaplan (§5), de business case (deel 13) en de blueprint (§3). De visie </w:t>
      </w:r>
      <w:r>
        <w:rPr>
          <w:rFonts w:ascii="Calibri" w:cs="Calibri" w:eastAsia="Calibri" w:hAnsi="Calibri"/>
          <w:b/>
          <w:bCs/>
          <w:sz w:val="22"/>
          <w:szCs w:val="22"/>
        </w:rPr>
        <w:t xml:space="preserve">lijnt mensen uit</w:t>
      </w:r>
      <w:r>
        <w:rPr>
          <w:rFonts w:ascii="Calibri" w:cs="Calibri" w:eastAsia="Calibri" w:hAnsi="Calibri"/>
          <w:sz w:val="22"/>
          <w:szCs w:val="22"/>
        </w:rPr>
        <w:t xml:space="preserve">; de blueprint </w:t>
      </w:r>
      <w:r>
        <w:rPr>
          <w:rFonts w:ascii="Calibri" w:cs="Calibri" w:eastAsia="Calibri" w:hAnsi="Calibri"/>
          <w:b/>
          <w:bCs/>
          <w:sz w:val="22"/>
          <w:szCs w:val="22"/>
        </w:rPr>
        <w:t xml:space="preserve">specificeert het ontwerp</w:t>
      </w:r>
      <w:r>
        <w:rPr>
          <w:rFonts w:ascii="Calibri" w:cs="Calibri" w:eastAsia="Calibri" w:hAnsi="Calibri"/>
          <w:sz w:val="22"/>
          <w:szCs w:val="22"/>
        </w:rPr>
        <w:t xml:space="preserve">. Een veelgemaakte fout is de visie zelf al te detailleren, waardoor die haar functie als kort, memorabel ankerpunt verliest.</w:t>
      </w:r>
    </w:p>
    <w:p>
      <w:pPr>
        <w:spacing w:after="140" w:line="300"/>
      </w:pPr>
      <w:r>
        <w:rPr>
          <w:rFonts w:ascii="Calibri" w:cs="Calibri" w:eastAsia="Calibri" w:hAnsi="Calibri"/>
          <w:sz w:val="22"/>
          <w:szCs w:val="22"/>
        </w:rPr>
        <w:t xml:space="preserve">Voor het Programma Mutatieplatform zou een vision statement er ongeveer zo kunnen uitzien: </w:t>
      </w:r>
      <w:r>
        <w:rPr>
          <w:rFonts w:ascii="Calibri" w:cs="Calibri" w:eastAsia="Calibri" w:hAnsi="Calibri"/>
          <w:i/>
          <w:iCs/>
          <w:sz w:val="22"/>
          <w:szCs w:val="22"/>
        </w:rPr>
        <w:t xml:space="preserve">"Werkgevers regelen hun mutaties zelf, digitaal en foutloos, terwijl Meridiaan zich kan richten op de mutaties die echt aandacht verdienen."</w:t>
      </w:r>
      <w:r>
        <w:rPr>
          <w:rFonts w:ascii="Calibri" w:cs="Calibri" w:eastAsia="Calibri" w:hAnsi="Calibri"/>
          <w:sz w:val="22"/>
          <w:szCs w:val="22"/>
        </w:rPr>
        <w:t xml:space="preserve"> Kort, aansprekend, geen projectdetails.</w:t>
      </w:r>
    </w:p>
    <w:p>
      <w:pPr>
        <w:pStyle w:val="Heading2"/>
        <w:spacing w:after="120" w:before="200"/>
      </w:pPr>
      <w:r>
        <w:rPr>
          <w:rFonts w:ascii="Georgia" w:cs="Georgia" w:eastAsia="Georgia" w:hAnsi="Georgia"/>
          <w:b/>
          <w:bCs/>
          <w:color w:val="2563A8"/>
          <w:sz w:val="28"/>
          <w:szCs w:val="28"/>
        </w:rPr>
        <w:t xml:space="preserve">3. Design: de blueprint (target operating model)</w:t>
      </w:r>
    </w:p>
    <w:p>
      <w:pPr>
        <w:spacing w:after="140" w:line="300"/>
      </w:pPr>
      <w:r>
        <w:rPr>
          <w:rFonts w:ascii="Calibri" w:cs="Calibri" w:eastAsia="Calibri" w:hAnsi="Calibri"/>
          <w:sz w:val="22"/>
          <w:szCs w:val="22"/>
        </w:rPr>
        <w:t xml:space="preserve">De </w:t>
      </w:r>
      <w:r>
        <w:rPr>
          <w:rFonts w:ascii="Calibri" w:cs="Calibri" w:eastAsia="Calibri" w:hAnsi="Calibri"/>
          <w:b/>
          <w:bCs/>
          <w:sz w:val="22"/>
          <w:szCs w:val="22"/>
        </w:rPr>
        <w:t xml:space="preserve">blueprint</w:t>
      </w:r>
      <w:r>
        <w:rPr>
          <w:rFonts w:ascii="Calibri" w:cs="Calibri" w:eastAsia="Calibri" w:hAnsi="Calibri"/>
          <w:sz w:val="22"/>
          <w:szCs w:val="22"/>
        </w:rPr>
        <w:t xml:space="preserve">, in de vijfde editie hernoemd tot </w:t>
      </w:r>
      <w:r>
        <w:rPr>
          <w:rFonts w:ascii="Calibri" w:cs="Calibri" w:eastAsia="Calibri" w:hAnsi="Calibri"/>
          <w:b/>
          <w:bCs/>
          <w:sz w:val="22"/>
          <w:szCs w:val="22"/>
        </w:rPr>
        <w:t xml:space="preserve">target operating model</w:t>
      </w:r>
      <w:r>
        <w:rPr>
          <w:rFonts w:ascii="Calibri" w:cs="Calibri" w:eastAsia="Calibri" w:hAnsi="Calibri"/>
          <w:sz w:val="22"/>
          <w:szCs w:val="22"/>
        </w:rPr>
        <w:t xml:space="preserve">, is het gedetailleerde ontwerp van de toekomstige bedrijfsvoering. MSP structureert dit met het </w:t>
      </w:r>
      <w:r>
        <w:rPr>
          <w:rFonts w:ascii="Calibri" w:cs="Calibri" w:eastAsia="Calibri" w:hAnsi="Calibri"/>
          <w:b/>
          <w:bCs/>
          <w:sz w:val="22"/>
          <w:szCs w:val="22"/>
        </w:rPr>
        <w:t xml:space="preserve">POTI-model</w:t>
      </w:r>
      <w:r>
        <w:rPr>
          <w:rFonts w:ascii="Calibri" w:cs="Calibri" w:eastAsia="Calibri" w:hAnsi="Calibri"/>
          <w:sz w:val="22"/>
          <w:szCs w:val="22"/>
        </w:rPr>
        <w:t xml:space="preserve">, vier dimensies die samen bepalen hoe werk in de toekomst verloopt:</w:t>
      </w:r>
    </w:p>
    <w:p>
      <w:pPr>
        <w:pStyle w:val="ListParagraph"/>
        <w:numPr>
          <w:ilvl w:val="0"/>
          <w:numId w:val="1"/>
        </w:numPr>
        <w:spacing w:after="100" w:line="280"/>
      </w:pPr>
      <w:r>
        <w:rPr>
          <w:rFonts w:ascii="Calibri" w:cs="Calibri" w:eastAsia="Calibri" w:hAnsi="Calibri"/>
          <w:b/>
          <w:bCs/>
          <w:sz w:val="22"/>
          <w:szCs w:val="22"/>
        </w:rPr>
        <w:t xml:space="preserve">Processes</w:t>
      </w:r>
      <w:r>
        <w:rPr>
          <w:rFonts w:ascii="Calibri" w:cs="Calibri" w:eastAsia="Calibri" w:hAnsi="Calibri"/>
          <w:sz w:val="22"/>
          <w:szCs w:val="22"/>
        </w:rPr>
        <w:t xml:space="preserve"> — hoe werkzaamheden verlopen, welke stappen, in welke volgorde.</w:t>
      </w:r>
    </w:p>
    <w:p>
      <w:pPr>
        <w:pStyle w:val="ListParagraph"/>
        <w:numPr>
          <w:ilvl w:val="0"/>
          <w:numId w:val="1"/>
        </w:numPr>
        <w:spacing w:after="100" w:line="280"/>
      </w:pPr>
      <w:r>
        <w:rPr>
          <w:rFonts w:ascii="Calibri" w:cs="Calibri" w:eastAsia="Calibri" w:hAnsi="Calibri"/>
          <w:b/>
          <w:bCs/>
          <w:sz w:val="22"/>
          <w:szCs w:val="22"/>
        </w:rPr>
        <w:t xml:space="preserve">Organization</w:t>
      </w:r>
      <w:r>
        <w:rPr>
          <w:rFonts w:ascii="Calibri" w:cs="Calibri" w:eastAsia="Calibri" w:hAnsi="Calibri"/>
          <w:sz w:val="22"/>
          <w:szCs w:val="22"/>
        </w:rPr>
        <w:t xml:space="preserve"> — wie welke rol vervult, welke structuur en cultuur daarbij hoort.</w:t>
      </w:r>
    </w:p>
    <w:p>
      <w:pPr>
        <w:pStyle w:val="ListParagraph"/>
        <w:numPr>
          <w:ilvl w:val="0"/>
          <w:numId w:val="1"/>
        </w:numPr>
        <w:spacing w:after="100" w:line="280"/>
      </w:pPr>
      <w:r>
        <w:rPr>
          <w:rFonts w:ascii="Calibri" w:cs="Calibri" w:eastAsia="Calibri" w:hAnsi="Calibri"/>
          <w:b/>
          <w:bCs/>
          <w:sz w:val="22"/>
          <w:szCs w:val="22"/>
        </w:rPr>
        <w:t xml:space="preserve">Technology</w:t>
      </w:r>
      <w:r>
        <w:rPr>
          <w:rFonts w:ascii="Calibri" w:cs="Calibri" w:eastAsia="Calibri" w:hAnsi="Calibri"/>
          <w:sz w:val="22"/>
          <w:szCs w:val="22"/>
        </w:rPr>
        <w:t xml:space="preserve"> — welke systemen en technische hulpmiddelen het werk ondersteunen.</w:t>
      </w:r>
    </w:p>
    <w:p>
      <w:pPr>
        <w:pStyle w:val="ListParagraph"/>
        <w:numPr>
          <w:ilvl w:val="0"/>
          <w:numId w:val="1"/>
        </w:numPr>
        <w:spacing w:after="100" w:line="280"/>
      </w:pPr>
      <w:r>
        <w:rPr>
          <w:rFonts w:ascii="Calibri" w:cs="Calibri" w:eastAsia="Calibri" w:hAnsi="Calibri"/>
          <w:b/>
          <w:bCs/>
          <w:sz w:val="22"/>
          <w:szCs w:val="22"/>
        </w:rPr>
        <w:t xml:space="preserve">Information</w:t>
      </w:r>
      <w:r>
        <w:rPr>
          <w:rFonts w:ascii="Calibri" w:cs="Calibri" w:eastAsia="Calibri" w:hAnsi="Calibri"/>
          <w:sz w:val="22"/>
          <w:szCs w:val="22"/>
        </w:rPr>
        <w:t xml:space="preserve"> — welke gegevens nodig zijn, waar die vandaan komen en hoe ze stromen.</w:t>
      </w:r>
    </w:p>
    <w:p>
      <w:pPr>
        <w:spacing w:after="140" w:line="300"/>
      </w:pPr>
      <w:r>
        <w:rPr>
          <w:rFonts w:ascii="Calibri" w:cs="Calibri" w:eastAsia="Calibri" w:hAnsi="Calibri"/>
          <w:b/>
          <w:bCs/>
          <w:sz w:val="22"/>
          <w:szCs w:val="22"/>
        </w:rPr>
        <w:t xml:space="preserve">Van huidige naar toekomstige situatie: de gap-analyse.</w:t>
      </w:r>
      <w:r>
        <w:rPr>
          <w:rFonts w:ascii="Calibri" w:cs="Calibri" w:eastAsia="Calibri" w:hAnsi="Calibri"/>
          <w:sz w:val="22"/>
          <w:szCs w:val="22"/>
        </w:rPr>
        <w:t xml:space="preserve"> De blueprint wordt altijd naast het </w:t>
      </w:r>
      <w:r>
        <w:rPr>
          <w:rFonts w:ascii="Calibri" w:cs="Calibri" w:eastAsia="Calibri" w:hAnsi="Calibri"/>
          <w:b/>
          <w:bCs/>
          <w:sz w:val="22"/>
          <w:szCs w:val="22"/>
        </w:rPr>
        <w:t xml:space="preserve">huidige operating model</w:t>
      </w:r>
      <w:r>
        <w:rPr>
          <w:rFonts w:ascii="Calibri" w:cs="Calibri" w:eastAsia="Calibri" w:hAnsi="Calibri"/>
          <w:sz w:val="22"/>
          <w:szCs w:val="22"/>
        </w:rPr>
        <w:t xml:space="preserve"> (as-is) gelegd. Het verschil tussen beide — de gap — bepaalt welke business changes (deel 12, §2) daadwerkelijk nodig zijn, en raakt daarmee rechtstreeks de benefits map: elke geïdentificeerde gap moet, via een enabler en een business change, uiteindelijk tot een baat leiden. Een blueprint die geen scherpe gap-analyse bevat, loopt het risico dat het programma dingen bouwt die niemand nodig heeft omdat de huidige situatie op dat punt al voldeed.</w:t>
      </w:r>
    </w:p>
    <w:p>
      <w:pPr>
        <w:spacing w:after="140" w:line="300"/>
      </w:pPr>
      <w:r>
        <w:rPr>
          <w:rFonts w:ascii="Calibri" w:cs="Calibri" w:eastAsia="Calibri" w:hAnsi="Calibri"/>
          <w:b/>
          <w:bCs/>
          <w:sz w:val="22"/>
          <w:szCs w:val="22"/>
        </w:rPr>
        <w:t xml:space="preserve">De blueprint is geen momentopname.</w:t>
      </w:r>
      <w:r>
        <w:rPr>
          <w:rFonts w:ascii="Calibri" w:cs="Calibri" w:eastAsia="Calibri" w:hAnsi="Calibri"/>
          <w:sz w:val="22"/>
          <w:szCs w:val="22"/>
        </w:rPr>
        <w:t xml:space="preserve"> Net als de business case (deel 13) en de benefits map (deel 12), wordt de blueprint bij elke tranche herzien in het licht van nieuwe informatie (Evaluate New Information, deel 11 §7) — soms toont een blueprint zelfs expliciet een tussenliggende staat, niet alleen een begin- en eindpunt, juist om de stapsgewijze aard van een programma zichtbaar te maken.</w:t>
      </w:r>
    </w:p>
    <w:p>
      <w:pPr>
        <w:pStyle w:val="Heading2"/>
        <w:spacing w:after="120" w:before="200"/>
      </w:pPr>
      <w:r>
        <w:rPr>
          <w:rFonts w:ascii="Georgia" w:cs="Georgia" w:eastAsia="Georgia" w:hAnsi="Georgia"/>
          <w:b/>
          <w:bCs/>
          <w:color w:val="2563A8"/>
          <w:sz w:val="28"/>
          <w:szCs w:val="28"/>
        </w:rPr>
        <w:t xml:space="preserve">4. Structure: de logica van tranches</w:t>
      </w:r>
    </w:p>
    <w:p>
      <w:pPr>
        <w:spacing w:after="140" w:line="300"/>
      </w:pPr>
      <w:r>
        <w:rPr>
          <w:rFonts w:ascii="Calibri" w:cs="Calibri" w:eastAsia="Calibri" w:hAnsi="Calibri"/>
          <w:sz w:val="22"/>
          <w:szCs w:val="22"/>
        </w:rPr>
        <w:t xml:space="preserve">Een </w:t>
      </w:r>
      <w:r>
        <w:rPr>
          <w:rFonts w:ascii="Calibri" w:cs="Calibri" w:eastAsia="Calibri" w:hAnsi="Calibri"/>
          <w:b/>
          <w:bCs/>
          <w:sz w:val="22"/>
          <w:szCs w:val="22"/>
        </w:rPr>
        <w:t xml:space="preserve">tranche</w:t>
      </w:r>
      <w:r>
        <w:rPr>
          <w:rFonts w:ascii="Calibri" w:cs="Calibri" w:eastAsia="Calibri" w:hAnsi="Calibri"/>
          <w:sz w:val="22"/>
          <w:szCs w:val="22"/>
        </w:rPr>
        <w:t xml:space="preserve"> is geen willekeurige opdeling van het werk in gelijke stukken — het is een </w:t>
      </w:r>
      <w:r>
        <w:rPr>
          <w:rFonts w:ascii="Calibri" w:cs="Calibri" w:eastAsia="Calibri" w:hAnsi="Calibri"/>
          <w:b/>
          <w:bCs/>
          <w:sz w:val="22"/>
          <w:szCs w:val="22"/>
        </w:rPr>
        <w:t xml:space="preserve">groep projecten en activiteiten, bewust gestructureerd rond een duidelijke stapverandering in capaciteit en batenrealisatie</w:t>
      </w:r>
      <w:r>
        <w:rPr>
          <w:rFonts w:ascii="Calibri" w:cs="Calibri" w:eastAsia="Calibri" w:hAnsi="Calibri"/>
          <w:sz w:val="22"/>
          <w:szCs w:val="22"/>
        </w:rPr>
        <w:t xml:space="preserve">. Elke tranche moet op zichzelf al een herkenbare, betekenisvolle voortgang opleveren: een moment waarop stakeholders kunnen zien dat het programma daadwerkelijk waarde toevoegt, niet alleen "onderweg" is.</w:t>
      </w:r>
    </w:p>
    <w:p>
      <w:pPr>
        <w:spacing w:after="140" w:line="300"/>
      </w:pPr>
      <w:r>
        <w:rPr>
          <w:rFonts w:ascii="Calibri" w:cs="Calibri" w:eastAsia="Calibri" w:hAnsi="Calibri"/>
          <w:b/>
          <w:bCs/>
          <w:sz w:val="22"/>
          <w:szCs w:val="22"/>
        </w:rPr>
        <w:t xml:space="preserve">Waarom niet alles in één keer?</w:t>
      </w:r>
      <w:r>
        <w:rPr>
          <w:rFonts w:ascii="Calibri" w:cs="Calibri" w:eastAsia="Calibri" w:hAnsi="Calibri"/>
          <w:sz w:val="22"/>
          <w:szCs w:val="22"/>
        </w:rPr>
        <w:t xml:space="preserve"> Drie redenen, direct verbonden met de MSP-principes uit deel 11:</w:t>
      </w:r>
    </w:p>
    <w:p>
      <w:pPr>
        <w:pStyle w:val="ListParagraph"/>
        <w:numPr>
          <w:ilvl w:val="0"/>
          <w:numId w:val="1"/>
        </w:numPr>
        <w:spacing w:after="100" w:line="280"/>
      </w:pPr>
      <w:r>
        <w:rPr>
          <w:rFonts w:ascii="Calibri" w:cs="Calibri" w:eastAsia="Calibri" w:hAnsi="Calibri"/>
          <w:b/>
          <w:bCs/>
          <w:sz w:val="22"/>
          <w:szCs w:val="22"/>
        </w:rPr>
        <w:t xml:space="preserve">Leren en aanpassen</w:t>
      </w:r>
      <w:r>
        <w:rPr>
          <w:rFonts w:ascii="Calibri" w:cs="Calibri" w:eastAsia="Calibri" w:hAnsi="Calibri"/>
          <w:sz w:val="22"/>
          <w:szCs w:val="22"/>
        </w:rPr>
        <w:t xml:space="preserve"> (deal with ambiguity) — een tranche levert nieuwe informatie op die de volgende tranche kan verbeteren.</w:t>
      </w:r>
    </w:p>
    <w:p>
      <w:pPr>
        <w:pStyle w:val="ListParagraph"/>
        <w:numPr>
          <w:ilvl w:val="0"/>
          <w:numId w:val="1"/>
        </w:numPr>
        <w:spacing w:after="100" w:line="280"/>
      </w:pPr>
      <w:r>
        <w:rPr>
          <w:rFonts w:ascii="Calibri" w:cs="Calibri" w:eastAsia="Calibri" w:hAnsi="Calibri"/>
          <w:b/>
          <w:bCs/>
          <w:sz w:val="22"/>
          <w:szCs w:val="22"/>
        </w:rPr>
        <w:t xml:space="preserve">Tempo én waarde tegelijk</w:t>
      </w:r>
      <w:r>
        <w:rPr>
          <w:rFonts w:ascii="Calibri" w:cs="Calibri" w:eastAsia="Calibri" w:hAnsi="Calibri"/>
          <w:sz w:val="22"/>
          <w:szCs w:val="22"/>
        </w:rPr>
        <w:t xml:space="preserve"> (bring pace and value) — vroege tranches kunnen al baten opleveren, in plaats van te wachten tot het einde van een jarenlang programma.</w:t>
      </w:r>
    </w:p>
    <w:p>
      <w:pPr>
        <w:pStyle w:val="ListParagraph"/>
        <w:numPr>
          <w:ilvl w:val="0"/>
          <w:numId w:val="1"/>
        </w:numPr>
        <w:spacing w:after="100" w:line="280"/>
      </w:pPr>
      <w:r>
        <w:rPr>
          <w:rFonts w:ascii="Calibri" w:cs="Calibri" w:eastAsia="Calibri" w:hAnsi="Calibri"/>
          <w:b/>
          <w:bCs/>
          <w:sz w:val="22"/>
          <w:szCs w:val="22"/>
        </w:rPr>
        <w:t xml:space="preserve">Absorptievermogen van de organisatie.</w:t>
      </w:r>
      <w:r>
        <w:rPr>
          <w:rFonts w:ascii="Calibri" w:cs="Calibri" w:eastAsia="Calibri" w:hAnsi="Calibri"/>
          <w:sz w:val="22"/>
          <w:szCs w:val="22"/>
        </w:rPr>
        <w:t xml:space="preserve"> Dit is een cruciale, vaak onderschatte nuance: het tempo waarin het programma capaciteit oplevert, moet in balans blijven met het tempo waarin de organisatie die verandering daadwerkelijk kan absorberen. Een programma dat sneller levert dan de organisatie kan opnemen, veroorzaakt niet minder maar juist méér weerstand en vertraagde batenrealisatie — precies het domein van de Business Change Manager (deel 11, §6).</w:t>
      </w:r>
    </w:p>
    <w:p>
      <w:pPr>
        <w:spacing w:after="140" w:line="300"/>
      </w:pPr>
      <w:r>
        <w:rPr>
          <w:rFonts w:ascii="Calibri" w:cs="Calibri" w:eastAsia="Calibri" w:hAnsi="Calibri"/>
          <w:b/>
          <w:bCs/>
          <w:sz w:val="22"/>
          <w:szCs w:val="22"/>
        </w:rPr>
        <w:t xml:space="preserve">Twee kernproducten van Structure:</w:t>
      </w:r>
    </w:p>
    <w:p>
      <w:pPr>
        <w:pStyle w:val="ListParagraph"/>
        <w:numPr>
          <w:ilvl w:val="0"/>
          <w:numId w:val="1"/>
        </w:numPr>
        <w:spacing w:after="100" w:line="280"/>
      </w:pPr>
      <w:r>
        <w:rPr>
          <w:rFonts w:ascii="Calibri" w:cs="Calibri" w:eastAsia="Calibri" w:hAnsi="Calibri"/>
          <w:sz w:val="22"/>
          <w:szCs w:val="22"/>
        </w:rPr>
        <w:t xml:space="preserve">Het </w:t>
      </w:r>
      <w:r>
        <w:rPr>
          <w:rFonts w:ascii="Calibri" w:cs="Calibri" w:eastAsia="Calibri" w:hAnsi="Calibri"/>
          <w:b/>
          <w:bCs/>
          <w:sz w:val="22"/>
          <w:szCs w:val="22"/>
        </w:rPr>
        <w:t xml:space="preserve">Programme Plan</w:t>
      </w:r>
      <w:r>
        <w:rPr>
          <w:rFonts w:ascii="Calibri" w:cs="Calibri" w:eastAsia="Calibri" w:hAnsi="Calibri"/>
          <w:sz w:val="22"/>
          <w:szCs w:val="22"/>
        </w:rPr>
        <w:t xml:space="preserve"> — het instrument waarmee voortgang en levering over de volledige looptijd worden gevolgd en gestuurd.</w:t>
      </w:r>
    </w:p>
    <w:p>
      <w:pPr>
        <w:pStyle w:val="ListParagraph"/>
        <w:numPr>
          <w:ilvl w:val="0"/>
          <w:numId w:val="1"/>
        </w:numPr>
        <w:spacing w:after="100" w:line="280"/>
      </w:pPr>
      <w:r>
        <w:rPr>
          <w:rFonts w:ascii="Calibri" w:cs="Calibri" w:eastAsia="Calibri" w:hAnsi="Calibri"/>
          <w:sz w:val="22"/>
          <w:szCs w:val="22"/>
        </w:rPr>
        <w:t xml:space="preserve">Het </w:t>
      </w:r>
      <w:r>
        <w:rPr>
          <w:rFonts w:ascii="Calibri" w:cs="Calibri" w:eastAsia="Calibri" w:hAnsi="Calibri"/>
          <w:b/>
          <w:bCs/>
          <w:sz w:val="22"/>
          <w:szCs w:val="22"/>
        </w:rPr>
        <w:t xml:space="preserve">Projects Dossier</w:t>
      </w:r>
      <w:r>
        <w:rPr>
          <w:rFonts w:ascii="Calibri" w:cs="Calibri" w:eastAsia="Calibri" w:hAnsi="Calibri"/>
          <w:sz w:val="22"/>
          <w:szCs w:val="22"/>
        </w:rPr>
        <w:t xml:space="preserve"> — de lijst van projecten die nodig zijn om de blueprint te realiseren, met grove informatie en inschattingen per project; dit dossier wordt per tranche verder uitgewerkt naarmate meer detail beschikbaar en nodig is.</w:t>
      </w:r>
    </w:p>
    <w:p>
      <w:pPr>
        <w:pStyle w:val="Heading2"/>
        <w:spacing w:after="120" w:before="200"/>
      </w:pPr>
      <w:r>
        <w:rPr>
          <w:rFonts w:ascii="Georgia" w:cs="Georgia" w:eastAsia="Georgia" w:hAnsi="Georgia"/>
          <w:b/>
          <w:bCs/>
          <w:color w:val="2563A8"/>
          <w:sz w:val="28"/>
          <w:szCs w:val="28"/>
        </w:rPr>
        <w:t xml:space="preserve">5. De Tranche Review</w:t>
      </w:r>
    </w:p>
    <w:p>
      <w:pPr>
        <w:spacing w:after="140" w:line="300"/>
      </w:pPr>
      <w:r>
        <w:rPr>
          <w:rFonts w:ascii="Calibri" w:cs="Calibri" w:eastAsia="Calibri" w:hAnsi="Calibri"/>
          <w:sz w:val="22"/>
          <w:szCs w:val="22"/>
        </w:rPr>
        <w:t xml:space="preserve">Aan het einde van elke tranche vindt een formele </w:t>
      </w:r>
      <w:r>
        <w:rPr>
          <w:rFonts w:ascii="Calibri" w:cs="Calibri" w:eastAsia="Calibri" w:hAnsi="Calibri"/>
          <w:b/>
          <w:bCs/>
          <w:sz w:val="22"/>
          <w:szCs w:val="22"/>
        </w:rPr>
        <w:t xml:space="preserve">Tranche Review</w:t>
      </w:r>
      <w:r>
        <w:rPr>
          <w:rFonts w:ascii="Calibri" w:cs="Calibri" w:eastAsia="Calibri" w:hAnsi="Calibri"/>
          <w:sz w:val="22"/>
          <w:szCs w:val="22"/>
        </w:rPr>
        <w:t xml:space="preserve"> plaats — het beslismoment vóór er verder wordt geïnvesteerd in de volgende tranche. Dit is exact het moment waarop het proces Evaluate New Information (deel 11, §7) en de vier besluiten uit Justification (deel 13, §5) samenkomen: doorgaan, aanpassen, pauzeren, of vroegtijdig sluiten.</w:t>
      </w:r>
    </w:p>
    <w:p>
      <w:pPr>
        <w:spacing w:after="140" w:line="300"/>
      </w:pPr>
      <w:r>
        <w:rPr>
          <w:rFonts w:ascii="Calibri" w:cs="Calibri" w:eastAsia="Calibri" w:hAnsi="Calibri"/>
          <w:sz w:val="22"/>
          <w:szCs w:val="22"/>
        </w:rPr>
        <w:t xml:space="preserve">De Tranche Review kijkt terug (zijn de beoogde outputs van deze tranche geleverd, materialiseren de eerste baten zich zoals verwacht) én vooruit (is de blueprint voor de volgende tranche, in het licht van wat inmiddels bekend is, nog steeds de juiste keuze).</w:t>
      </w:r>
    </w:p>
    <w:p>
      <w:pPr>
        <w:pStyle w:val="Heading2"/>
        <w:spacing w:after="120" w:before="200"/>
      </w:pPr>
      <w:r>
        <w:rPr>
          <w:rFonts w:ascii="Georgia" w:cs="Georgia" w:eastAsia="Georgia" w:hAnsi="Georgia"/>
          <w:b/>
          <w:bCs/>
          <w:color w:val="2563A8"/>
          <w:sz w:val="28"/>
          <w:szCs w:val="28"/>
        </w:rPr>
        <w:t xml:space="preserve">6. Toegepast op het Programma Mutatieplatform</w:t>
      </w:r>
    </w:p>
    <w:p>
      <w:pPr>
        <w:spacing w:after="140" w:line="300"/>
      </w:pPr>
      <w:r>
        <w:rPr>
          <w:rFonts w:ascii="Calibri" w:cs="Calibri" w:eastAsia="Calibri" w:hAnsi="Calibri"/>
          <w:b/>
          <w:bCs/>
          <w:sz w:val="22"/>
          <w:szCs w:val="22"/>
        </w:rPr>
        <w:t xml:space="preserve">Blueprint (POTI, sterk vereenvoudigd):</w:t>
      </w:r>
    </w:p>
    <w:p>
      <w:pPr>
        <w:pStyle w:val="ListParagraph"/>
        <w:numPr>
          <w:ilvl w:val="0"/>
          <w:numId w:val="1"/>
        </w:numPr>
        <w:spacing w:after="100" w:line="280"/>
      </w:pPr>
      <w:r>
        <w:rPr>
          <w:rFonts w:ascii="Calibri" w:cs="Calibri" w:eastAsia="Calibri" w:hAnsi="Calibri"/>
          <w:sz w:val="22"/>
          <w:szCs w:val="22"/>
        </w:rPr>
        <w:t xml:space="preserve">Processes: werkgevers dienen mutaties zelf in via het portaal; Klantcontact behandelt alleen uitzonderingen.</w:t>
      </w:r>
    </w:p>
    <w:p>
      <w:pPr>
        <w:pStyle w:val="ListParagraph"/>
        <w:numPr>
          <w:ilvl w:val="0"/>
          <w:numId w:val="1"/>
        </w:numPr>
        <w:spacing w:after="100" w:line="280"/>
      </w:pPr>
      <w:r>
        <w:rPr>
          <w:rFonts w:ascii="Calibri" w:cs="Calibri" w:eastAsia="Calibri" w:hAnsi="Calibri"/>
          <w:sz w:val="22"/>
          <w:szCs w:val="22"/>
        </w:rPr>
        <w:t xml:space="preserve">Organization: een kleiner, meer gespecialiseerd team bij Klantcontact, gericht op complexe gevallen in plaats van volume.</w:t>
      </w:r>
    </w:p>
    <w:p>
      <w:pPr>
        <w:pStyle w:val="ListParagraph"/>
        <w:numPr>
          <w:ilvl w:val="0"/>
          <w:numId w:val="1"/>
        </w:numPr>
        <w:spacing w:after="100" w:line="280"/>
      </w:pPr>
      <w:r>
        <w:rPr>
          <w:rFonts w:ascii="Calibri" w:cs="Calibri" w:eastAsia="Calibri" w:hAnsi="Calibri"/>
          <w:sz w:val="22"/>
          <w:szCs w:val="22"/>
        </w:rPr>
        <w:t xml:space="preserve">Technology: het vernieuwde werkgeversportaal, de nieuwe kernsysteemkoppeling.</w:t>
      </w:r>
    </w:p>
    <w:p>
      <w:pPr>
        <w:pStyle w:val="ListParagraph"/>
        <w:numPr>
          <w:ilvl w:val="0"/>
          <w:numId w:val="1"/>
        </w:numPr>
        <w:spacing w:after="100" w:line="280"/>
      </w:pPr>
      <w:r>
        <w:rPr>
          <w:rFonts w:ascii="Calibri" w:cs="Calibri" w:eastAsia="Calibri" w:hAnsi="Calibri"/>
          <w:sz w:val="22"/>
          <w:szCs w:val="22"/>
        </w:rPr>
        <w:t xml:space="preserve">Information: gevalideerde mutatiegegevens bij invoer, in plaats van correcties achteraf.</w:t>
      </w:r>
    </w:p>
    <w:p>
      <w:pPr>
        <w:spacing w:after="140" w:line="300"/>
      </w:pPr>
      <w:r>
        <w:rPr>
          <w:rFonts w:ascii="Calibri" w:cs="Calibri" w:eastAsia="Calibri" w:hAnsi="Calibri"/>
          <w:b/>
          <w:bCs/>
          <w:sz w:val="22"/>
          <w:szCs w:val="22"/>
        </w:rPr>
        <w:t xml:space="preserve">Tranche-indeling (voorbeeld):</w:t>
      </w:r>
    </w:p>
    <w:p>
      <w:pPr>
        <w:pStyle w:val="ListParagraph"/>
        <w:numPr>
          <w:ilvl w:val="0"/>
          <w:numId w:val="1"/>
        </w:numPr>
        <w:spacing w:after="100" w:line="280"/>
      </w:pPr>
      <w:r>
        <w:rPr>
          <w:rFonts w:ascii="Calibri" w:cs="Calibri" w:eastAsia="Calibri" w:hAnsi="Calibri"/>
          <w:b/>
          <w:bCs/>
          <w:sz w:val="22"/>
          <w:szCs w:val="22"/>
        </w:rPr>
        <w:t xml:space="preserve">Tranche 1</w:t>
      </w:r>
      <w:r>
        <w:rPr>
          <w:rFonts w:ascii="Calibri" w:cs="Calibri" w:eastAsia="Calibri" w:hAnsi="Calibri"/>
          <w:sz w:val="22"/>
          <w:szCs w:val="22"/>
        </w:rPr>
        <w:t xml:space="preserve">: de kernsysteemkoppeling en de herziene validatieregels — de technische basis waar de andere projecten van afhankelijk zijn.</w:t>
      </w:r>
    </w:p>
    <w:p>
      <w:pPr>
        <w:pStyle w:val="ListParagraph"/>
        <w:numPr>
          <w:ilvl w:val="0"/>
          <w:numId w:val="1"/>
        </w:numPr>
        <w:spacing w:after="100" w:line="280"/>
      </w:pPr>
      <w:r>
        <w:rPr>
          <w:rFonts w:ascii="Calibri" w:cs="Calibri" w:eastAsia="Calibri" w:hAnsi="Calibri"/>
          <w:b/>
          <w:bCs/>
          <w:sz w:val="22"/>
          <w:szCs w:val="22"/>
        </w:rPr>
        <w:t xml:space="preserve">Tranche 2</w:t>
      </w:r>
      <w:r>
        <w:rPr>
          <w:rFonts w:ascii="Calibri" w:cs="Calibri" w:eastAsia="Calibri" w:hAnsi="Calibri"/>
          <w:sz w:val="22"/>
          <w:szCs w:val="22"/>
        </w:rPr>
        <w:t xml:space="preserve">: WGP 2.0 (het werkgeversportaal) en de interne automatisering bij Klantcontact, nu bouwend op de basis uit tranche 1.</w:t>
      </w:r>
    </w:p>
    <w:p>
      <w:pPr>
        <w:pStyle w:val="ListParagraph"/>
        <w:numPr>
          <w:ilvl w:val="0"/>
          <w:numId w:val="1"/>
        </w:numPr>
        <w:spacing w:after="100" w:line="280"/>
      </w:pPr>
      <w:r>
        <w:rPr>
          <w:rFonts w:ascii="Calibri" w:cs="Calibri" w:eastAsia="Calibri" w:hAnsi="Calibri"/>
          <w:b/>
          <w:bCs/>
          <w:sz w:val="22"/>
          <w:szCs w:val="22"/>
        </w:rPr>
        <w:t xml:space="preserve">Tranche 3</w:t>
      </w:r>
      <w:r>
        <w:rPr>
          <w:rFonts w:ascii="Calibri" w:cs="Calibri" w:eastAsia="Calibri" w:hAnsi="Calibri"/>
          <w:sz w:val="22"/>
          <w:szCs w:val="22"/>
        </w:rPr>
        <w:t xml:space="preserve">: het trainings- en veranderprogramma, bewust als laatste, zodat medewerkers en werkgevers worden voorbereid op een systeem dat dan al grotendeels werkt — in lijn met het principe van absorptievermogen (§4).</w:t>
      </w:r>
    </w:p>
    <w:p>
      <w:pPr>
        <w:spacing w:after="140" w:line="300"/>
      </w:pPr>
      <w:r>
        <w:rPr>
          <w:rFonts w:ascii="Calibri" w:cs="Calibri" w:eastAsia="Calibri" w:hAnsi="Calibri"/>
          <w:sz w:val="22"/>
          <w:szCs w:val="22"/>
        </w:rPr>
        <w:t xml:space="preserve">Elke tranche eindigt met een Tranche Review waarin, net als bij de faseovergangen in PRINCE2 (niveau 1, deel 8), expliciet wordt getoetst of doorgaan nog gerechtvaardigd is.</w:t>
      </w:r>
    </w:p>
    <w:p>
      <w:pPr>
        <w:pStyle w:val="Heading2"/>
        <w:spacing w:after="120" w:before="200"/>
      </w:pPr>
      <w:r>
        <w:rPr>
          <w:rFonts w:ascii="Georgia" w:cs="Georgia" w:eastAsia="Georgia" w:hAnsi="Georgia"/>
          <w:b/>
          <w:bCs/>
          <w:color w:val="2563A8"/>
          <w:sz w:val="28"/>
          <w:szCs w:val="28"/>
        </w:rPr>
        <w:t xml:space="preserve">7. Vooruitblik</w:t>
      </w:r>
    </w:p>
    <w:p>
      <w:pPr>
        <w:spacing w:after="140" w:line="300"/>
      </w:pPr>
      <w:r>
        <w:rPr>
          <w:rFonts w:ascii="Calibri" w:cs="Calibri" w:eastAsia="Calibri" w:hAnsi="Calibri"/>
          <w:sz w:val="22"/>
          <w:szCs w:val="22"/>
        </w:rPr>
        <w:t xml:space="preserve">Het tweede dagdeel van dit deel behandelt hoe deze blueprint en tranchestructuur zich verhouden tot verschillende delivery-benaderingen — waarna deel 16 dieper ingaat op één specifieke benadering: PRINCE2 Agile en hybride levering, relevant wanneer (delen van) tranches iteratief in plaats van traditioneel worden uitgevoerd.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15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2026-08-17T07:42:34.960Z</dcterms:created>
  <dcterms:modified xsi:type="dcterms:W3CDTF">2026-08-17T07:42:34.961Z</dcterms:modified>
</cp:coreProperties>
</file>

<file path=docProps/custom.xml><?xml version="1.0" encoding="utf-8"?>
<Properties xmlns="http://schemas.openxmlformats.org/officeDocument/2006/custom-properties" xmlns:vt="http://schemas.openxmlformats.org/officeDocument/2006/docPropsVTypes"/>
</file>