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15 — Design en Structure: blueprint en tranches (twee dagdelen)</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Opdracht 15.1 — Visie of blueprint? (individueel, 10 min)</w:t>
      </w:r>
    </w:p>
    <w:p>
      <w:pPr>
        <w:spacing w:after="140" w:line="300"/>
      </w:pPr>
      <w:r>
        <w:rPr>
          <w:rFonts w:ascii="Calibri" w:cs="Calibri" w:eastAsia="Calibri" w:hAnsi="Calibri"/>
          <w:sz w:val="22"/>
          <w:szCs w:val="22"/>
        </w:rPr>
        <w:t xml:space="preserve">Voor elk van de volgende zinnen: hoort dit thuis in een vision statement, of in de blueprint (of geen van beide — dan in de business case of het programmaplan)?</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"Deelnemers vertrouwen erop dat hun pensioenoverzicht altijd klopt."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"Het nieuwe validatiesysteem draait op de bestaande cloudinfrastructuur en integreert met drie externe gegevensbronnen."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"Het budget voor tranche 2 bedraagt €1,8 miljoen."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"Klantcontact-medewerkers krijgen een nieuwe rol gericht op complexe uitzonderingen in plaats van routinematige verwerking."</w:t>
      </w:r>
    </w:p>
    <w:p>
      <w:pPr>
        <w:pStyle w:val="Heading2"/>
        <w:spacing w:after="120" w:before="200"/>
      </w:pPr>
      <w:r>
        <w:rPr>
          <w:rFonts w:ascii="Georgia" w:cs="Georgia" w:eastAsia="Georgia" w:hAnsi="Georgia"/>
          <w:b/>
          <w:bCs/>
          <w:color w:val="2563A8"/>
          <w:sz w:val="28"/>
          <w:szCs w:val="28"/>
        </w:rPr>
        <w:t xml:space="preserve">Opdracht 15.2 — POTI toepassen (tweetallen, 20 min)</w:t>
      </w:r>
    </w:p>
    <w:p>
      <w:pPr>
        <w:spacing w:after="140" w:line="300"/>
      </w:pPr>
      <w:r>
        <w:rPr>
          <w:rFonts w:ascii="Calibri" w:cs="Calibri" w:eastAsia="Calibri" w:hAnsi="Calibri"/>
          <w:sz w:val="22"/>
          <w:szCs w:val="22"/>
        </w:rPr>
        <w:t xml:space="preserve">Meridiaan overweegt een nieuw programma: het geautomatiseerd signaleren van deelnemers die mogelijk recht hebben op een aanvullende uitkering, maar dit nooit hebben aangevraagd.</w:t>
      </w:r>
    </w:p>
    <w:p>
      <w:pPr>
        <w:spacing w:after="140" w:line="300"/>
      </w:pPr>
      <w:r>
        <w:rPr>
          <w:rFonts w:ascii="Calibri" w:cs="Calibri" w:eastAsia="Calibri" w:hAnsi="Calibri"/>
          <w:sz w:val="22"/>
          <w:szCs w:val="22"/>
        </w:rPr>
        <w:t xml:space="preserve">Werk voor dit programma een eenvoudige blueprint uit volgens het POTI-model: één tot twee zinnen per dimensie (Processes, Organization, Technology, Information), inclusief een korte gap-analyse (wat verandert er ten opzichte van de huidige situatie op elk vlak?).</w:t>
      </w:r>
    </w:p>
    <w:p>
      <w:pPr>
        <w:pStyle w:val="Heading2"/>
        <w:spacing w:after="120" w:before="200"/>
      </w:pPr>
      <w:r>
        <w:rPr>
          <w:rFonts w:ascii="Georgia" w:cs="Georgia" w:eastAsia="Georgia" w:hAnsi="Georgia"/>
          <w:b/>
          <w:bCs/>
          <w:color w:val="2563A8"/>
          <w:sz w:val="28"/>
          <w:szCs w:val="28"/>
        </w:rPr>
        <w:t xml:space="preserve">Opdracht 15.3 — Tranches indelen (groepjes van vier, 25 min)</w:t>
      </w:r>
    </w:p>
    <w:p>
      <w:pPr>
        <w:spacing w:after="140" w:line="300"/>
      </w:pPr>
      <w:r>
        <w:rPr>
          <w:rFonts w:ascii="Calibri" w:cs="Calibri" w:eastAsia="Calibri" w:hAnsi="Calibri"/>
          <w:sz w:val="22"/>
          <w:szCs w:val="22"/>
        </w:rPr>
        <w:t xml:space="preserve">Gegeven de volgende zes deelinitiatieven voor het programma uit opdracht 15.2:</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sz w:val="22"/>
          <w:szCs w:val="22"/>
        </w:rPr>
        <w:t xml:space="preserve">Een algoritme dat potentiële rechthebbenden identificeert.</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sz w:val="22"/>
          <w:szCs w:val="22"/>
        </w:rPr>
        <w:t xml:space="preserve">Een juridische toets of geautomatiseerde signalering is toegestaan binnen de geldende regelgeving.</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sz w:val="22"/>
          <w:szCs w:val="22"/>
        </w:rPr>
        <w:t xml:space="preserve">Een nieuwe brief-/communicatiestroom naar geïdentificeerde deelnemers.</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sz w:val="22"/>
          <w:szCs w:val="22"/>
        </w:rPr>
        <w:t xml:space="preserve">Training voor de afdeling die deze brieven opvolgt.</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sz w:val="22"/>
          <w:szCs w:val="22"/>
        </w:rPr>
        <w:t xml:space="preserve">Een koppeling met externe gegevensbronnen om rechten te verifiëren.</w:t>
      </w:r>
    </w:p>
    <w:p>
      <w:pPr>
        <w:spacing w:after="120" w:line="280"/>
        <w:ind w:left="360" w:hanging="360"/>
      </w:pPr>
      <w:r>
        <w:rPr>
          <w:rFonts w:ascii="Calibri" w:cs="Calibri" w:eastAsia="Calibri" w:hAnsi="Calibri"/>
          <w:b/>
          <w:bCs/>
          <w:color w:val="14213D"/>
          <w:sz w:val="22"/>
          <w:szCs w:val="22"/>
        </w:rPr>
        <w:t xml:space="preserve">6. </w:t>
      </w:r>
      <w:r>
        <w:rPr>
          <w:rFonts w:ascii="Calibri" w:cs="Calibri" w:eastAsia="Calibri" w:hAnsi="Calibri"/>
          <w:sz w:val="22"/>
          <w:szCs w:val="22"/>
        </w:rPr>
        <w:t xml:space="preserve">Een evaluatie- en leermodule om het algoritme na verloop van tijd te verbeteren.</w:t>
      </w:r>
    </w:p>
    <w:p>
      <w:pPr>
        <w:spacing w:after="140" w:line="300"/>
      </w:pPr>
      <w:r>
        <w:rPr>
          <w:rFonts w:ascii="Calibri" w:cs="Calibri" w:eastAsia="Calibri" w:hAnsi="Calibri"/>
          <w:sz w:val="22"/>
          <w:szCs w:val="22"/>
        </w:rPr>
        <w:t xml:space="preserve">Verdeel deze zes initiatieven over twee of drie tranches. Beargumenteer je indeling aan de hand van: (a) technische afhankelijkheden, (b) het principe van absorptievermogen (reader §4), en (c) waar een betekenisvolle, zichtbare tussenstap zou liggen.</w:t>
      </w:r>
    </w:p>
    <w:p>
      <w:pPr>
        <w:pStyle w:val="Heading2"/>
        <w:spacing w:after="120" w:before="200"/>
      </w:pPr>
      <w:r>
        <w:rPr>
          <w:rFonts w:ascii="Georgia" w:cs="Georgia" w:eastAsia="Georgia" w:hAnsi="Georgia"/>
          <w:b/>
          <w:bCs/>
          <w:color w:val="2563A8"/>
          <w:sz w:val="28"/>
          <w:szCs w:val="28"/>
        </w:rPr>
        <w:t xml:space="preserve">Opdracht 15.4 — De Tranche Review voorbereiden (klassikaal, 15 min)</w:t>
      </w:r>
    </w:p>
    <w:p>
      <w:pPr>
        <w:spacing w:after="140" w:line="300"/>
      </w:pPr>
      <w:r>
        <w:rPr>
          <w:rFonts w:ascii="Calibri" w:cs="Calibri" w:eastAsia="Calibri" w:hAnsi="Calibri"/>
          <w:sz w:val="22"/>
          <w:szCs w:val="22"/>
        </w:rPr>
        <w:t xml:space="preserve">Stel dat tranche 1 van het Programma Mutatieplatform (reader §6) is afgerond, maar de kernsysteemkoppeling loopt twee maanden vertraagd op de geplande oplevering van tranche 2. Welke vragen zou de Tranche Review moeten stellen voordat tranche 2 wordt geautoriseerd? Noem er minstens vier, gekoppeld aan de vier mogelijke besluiten uit deel 13.</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Reader §4 noemt het absorptievermogen van de organisatie als reden om tranches niet te snel op elkaar te laten volgen. Kun je een voorbeeld bedenken — uit eigen ervaring of voorstelling — van een verandering die technisch prima werkte, maar te snel kwam voor de mensen die ermee moesten werken? Wat zou een betere tranche-indeling daaraan hebben kunnen doen?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15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2026-08-17T07:42:35.057Z</dcterms:created>
  <dcterms:modified xsi:type="dcterms:W3CDTF">2026-08-17T07:42:35.057Z</dcterms:modified>
</cp:coreProperties>
</file>

<file path=docProps/custom.xml><?xml version="1.0" encoding="utf-8"?>
<Properties xmlns="http://schemas.openxmlformats.org/officeDocument/2006/custom-properties" xmlns:vt="http://schemas.openxmlformats.org/officeDocument/2006/docPropsVTypes"/>
</file>