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16 — PRINCE2 Agile en hybride levering</w:t>
      </w:r>
    </w:p>
    <w:p>
      <w:pPr>
        <w:spacing w:after="300"/>
      </w:pPr>
      <w:r>
        <w:rPr>
          <w:rFonts w:ascii="Calibri" w:cs="Calibri" w:eastAsia="Calibri" w:hAnsi="Calibri"/>
          <w:i/>
          <w:iCs/>
          <w:color w:val="2563A8"/>
          <w:sz w:val="22"/>
          <w:szCs w:val="22"/>
        </w:rPr>
        <w:t xml:space="preserve">Niveau 2 Professional · Project- en Programmamanagement</w:t>
      </w:r>
    </w:p>
    <w:p>
      <w:pPr>
        <w:spacing w:after="140" w:line="300"/>
      </w:pPr>
      <w:r>
        <w:rPr>
          <w:rFonts w:ascii="Calibri" w:cs="Calibri" w:eastAsia="Calibri" w:hAnsi="Calibri"/>
          <w:b/>
          <w:bCs/>
          <w:sz w:val="22"/>
          <w:szCs w:val="22"/>
        </w:rPr>
        <w:t xml:space="preserve">Dagdeel:</w:t>
      </w:r>
      <w:r>
        <w:rPr>
          <w:rFonts w:ascii="Calibri" w:cs="Calibri" w:eastAsia="Calibri" w:hAnsi="Calibri"/>
          <w:sz w:val="22"/>
          <w:szCs w:val="22"/>
        </w:rPr>
        <w:t xml:space="preserve"> 16 (deel 6 van niveau 2) · </w:t>
      </w:r>
      <w:r>
        <w:rPr>
          <w:rFonts w:ascii="Calibri" w:cs="Calibri" w:eastAsia="Calibri" w:hAnsi="Calibri"/>
          <w:b/>
          <w:bCs/>
          <w:sz w:val="22"/>
          <w:szCs w:val="22"/>
        </w:rPr>
        <w:t xml:space="preserve">Duur:</w:t>
      </w:r>
      <w:r>
        <w:rPr>
          <w:rFonts w:ascii="Calibri" w:cs="Calibri" w:eastAsia="Calibri" w:hAnsi="Calibri"/>
          <w:sz w:val="22"/>
          <w:szCs w:val="22"/>
        </w:rPr>
        <w:t xml:space="preserve"> circa 3 uur, inclusief pauze</w:t>
      </w:r>
    </w:p>
    <w:p>
      <w:pPr>
        <w:spacing w:after="140" w:line="300"/>
      </w:pPr>
      <w:r>
        <w:rPr>
          <w:rFonts w:ascii="Calibri" w:cs="Calibri" w:eastAsia="Calibri" w:hAnsi="Calibri"/>
          <w:b/>
          <w:bCs/>
          <w:sz w:val="22"/>
          <w:szCs w:val="22"/>
        </w:rPr>
        <w:t xml:space="preserve">Doel van dit deel:</w:t>
      </w:r>
      <w:r>
        <w:rPr>
          <w:rFonts w:ascii="Calibri" w:cs="Calibri" w:eastAsia="Calibri" w:hAnsi="Calibri"/>
          <w:sz w:val="22"/>
          <w:szCs w:val="22"/>
        </w:rPr>
        <w:t xml:space="preserve"> laten zien dat PRINCE2 Agile geen apart framework is, maar een tailoring-toepassing van wat al in niveau 1 is geleerd — en dat de keuze voor een leveringsbenadering per project, niet per programma, wordt gemaakt.</w:t>
      </w:r>
    </w:p>
    <w:p>
      <w:pPr>
        <w:pStyle w:val="Heading2"/>
        <w:spacing w:after="120" w:before="200"/>
      </w:pPr>
      <w:r>
        <w:rPr>
          <w:rFonts w:ascii="Georgia" w:cs="Georgia" w:eastAsia="Georgia" w:hAnsi="Georgia"/>
          <w:b/>
          <w:bCs/>
          <w:color w:val="2563A8"/>
          <w:sz w:val="28"/>
          <w:szCs w:val="28"/>
        </w:rPr>
        <w:t xml:space="preserve">Opbouw en timing</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deel 15, introductie multimodal delivery (reader §1–2)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Vijf targets for agility (reader §3)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0:30–0:50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hexagon: fix en flex (reader §4)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0:50–1:00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16.1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 bespreking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1:00–1:10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1:10–1:25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Vijf agile gedragingen (reader §5)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1:25–1:45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Agilometer (reader §6)</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1:45–2:05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16.2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Tweetallen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2:05–2:20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Cynefin, fase/sprint, rollen (reader §7–9)</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2:20–2:28</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16.3 en 16.4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Klassikaal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2:28–2:30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Vooruitblik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w:t>
            </w:r>
          </w:p>
        </w:tc>
      </w:tr>
    </w:tbl>
    <w:p>
      <w:pPr>
        <w:pStyle w:val="Heading2"/>
        <w:spacing w:after="120" w:before="200"/>
      </w:pPr>
      <w:r>
        <w:rPr>
          <w:rFonts w:ascii="Georgia" w:cs="Georgia" w:eastAsia="Georgia" w:hAnsi="Georgia"/>
          <w:b/>
          <w:bCs/>
          <w:color w:val="2563A8"/>
          <w:sz w:val="28"/>
          <w:szCs w:val="28"/>
        </w:rPr>
        <w:t xml:space="preserve">Didactische aanwijzingen</w:t>
      </w:r>
    </w:p>
    <w:p>
      <w:pPr>
        <w:pStyle w:val="ListParagraph"/>
        <w:numPr>
          <w:ilvl w:val="0"/>
          <w:numId w:val="1"/>
        </w:numPr>
        <w:spacing w:after="100" w:line="280"/>
      </w:pPr>
      <w:r>
        <w:rPr>
          <w:rFonts w:ascii="Calibri" w:cs="Calibri" w:eastAsia="Calibri" w:hAnsi="Calibri"/>
          <w:b/>
          <w:bCs/>
          <w:sz w:val="22"/>
          <w:szCs w:val="22"/>
        </w:rPr>
        <w:t xml:space="preserve">De hexagon (reader §4) is het meest examen-kritische onderdeel van dit deel.</w:t>
      </w:r>
      <w:r>
        <w:rPr>
          <w:rFonts w:ascii="Calibri" w:cs="Calibri" w:eastAsia="Calibri" w:hAnsi="Calibri"/>
          <w:sz w:val="22"/>
          <w:szCs w:val="22"/>
        </w:rPr>
        <w:t xml:space="preserve"> Zorg dat de omkering — tijd en kosten vast, scope flexibel — expliciet wordt gecontrasteerd met hoe niveau 1 (deel 6) toleranties normaal behandelt. Dit is precies waar deelnemers die niveau 1 goed hebben geleerd, in de val kunnen lopen: de reflex "vraag meer tijd of budget" is in PRINCE2 Agile bewust uitgeschakeld.</w:t>
      </w:r>
    </w:p>
    <w:p>
      <w:pPr>
        <w:pStyle w:val="ListParagraph"/>
        <w:numPr>
          <w:ilvl w:val="0"/>
          <w:numId w:val="1"/>
        </w:numPr>
        <w:spacing w:after="100" w:line="280"/>
      </w:pPr>
      <w:r>
        <w:rPr>
          <w:rFonts w:ascii="Calibri" w:cs="Calibri" w:eastAsia="Calibri" w:hAnsi="Calibri"/>
          <w:b/>
          <w:bCs/>
          <w:sz w:val="22"/>
          <w:szCs w:val="22"/>
        </w:rPr>
        <w:t xml:space="preserve">Bij de Agilometer (opdracht 16.2) is de belangrijkste regel: nooit middelen.</w:t>
      </w:r>
      <w:r>
        <w:rPr>
          <w:rFonts w:ascii="Calibri" w:cs="Calibri" w:eastAsia="Calibri" w:hAnsi="Calibri"/>
          <w:sz w:val="22"/>
          <w:szCs w:val="22"/>
        </w:rPr>
        <w:t xml:space="preserve"> Controleer expliciet dat groepen niet naar een gemiddeld cijfer toewerken, maar de zes sliders apart bespreken en beargumenteren welke het meeste aandacht verdient.</w:t>
      </w:r>
    </w:p>
    <w:p>
      <w:pPr>
        <w:pStyle w:val="ListParagraph"/>
        <w:numPr>
          <w:ilvl w:val="0"/>
          <w:numId w:val="1"/>
        </w:numPr>
        <w:spacing w:after="100" w:line="280"/>
      </w:pPr>
      <w:r>
        <w:rPr>
          <w:rFonts w:ascii="Calibri" w:cs="Calibri" w:eastAsia="Calibri" w:hAnsi="Calibri"/>
          <w:b/>
          <w:bCs/>
          <w:sz w:val="22"/>
          <w:szCs w:val="22"/>
        </w:rPr>
        <w:t xml:space="preserve">Cynefin (opdracht 16.3) is abstracter dan de rest van dit deel — gebruik concrete, herkenbare voorbeelden voordat je de opdracht start.</w:t>
      </w:r>
      <w:r>
        <w:rPr>
          <w:rFonts w:ascii="Calibri" w:cs="Calibri" w:eastAsia="Calibri" w:hAnsi="Calibri"/>
          <w:sz w:val="22"/>
          <w:szCs w:val="22"/>
        </w:rPr>
        <w:t xml:space="preserve"> Het chaotische domein (16.3c) is voor veel deelnemers het minst intuïtief: benadruk dat hier eerst gehandeld wordt om stabiliteit te herstellen, en dat classificatie achteraf, niet vooraf, plaatsvindt.</w:t>
      </w:r>
    </w:p>
    <w:p>
      <w:pPr>
        <w:pStyle w:val="ListParagraph"/>
        <w:numPr>
          <w:ilvl w:val="0"/>
          <w:numId w:val="1"/>
        </w:numPr>
        <w:spacing w:after="100" w:line="280"/>
      </w:pPr>
      <w:r>
        <w:rPr>
          <w:rFonts w:ascii="Calibri" w:cs="Calibri" w:eastAsia="Calibri" w:hAnsi="Calibri"/>
          <w:b/>
          <w:bCs/>
          <w:sz w:val="22"/>
          <w:szCs w:val="22"/>
        </w:rPr>
        <w:t xml:space="preserve">Bij opdracht 16.4 is de valkuil dat deelnemers de combinatie automatisch "logisch" vinden omdat beide rollen "de gebruiker vertegenwoordigen."</w:t>
      </w:r>
      <w:r>
        <w:rPr>
          <w:rFonts w:ascii="Calibri" w:cs="Calibri" w:eastAsia="Calibri" w:hAnsi="Calibri"/>
          <w:sz w:val="22"/>
          <w:szCs w:val="22"/>
        </w:rPr>
        <w:t xml:space="preserve"> Laat doorvragen naar het risico: een Senior User die ook product owner is, kan onder tijdsdruk geneigd zijn scope-beslissingen te nemen die passen bij de sprintplanning maar niet meer aansluiten bij het bredere gebruikersbelang op projectniveau — een subtielere versie van het belangenconflict dat niveau 1 (deel 3) waarschuwt te vermijden bij rolcombinaties.</w:t>
      </w:r>
    </w:p>
    <w:p>
      <w:pPr>
        <w:pStyle w:val="Heading2"/>
        <w:spacing w:after="120" w:before="200"/>
      </w:pPr>
      <w:r>
        <w:rPr>
          <w:rFonts w:ascii="Georgia" w:cs="Georgia" w:eastAsia="Georgia" w:hAnsi="Georgia"/>
          <w:b/>
          <w:bCs/>
          <w:color w:val="2563A8"/>
          <w:sz w:val="28"/>
          <w:szCs w:val="28"/>
        </w:rPr>
        <w:t xml:space="preserve">Modelantwoorden — Opdracht 16.1</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Vast</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Vast</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Flexibel (MoSCoW)</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Beschermd</w:t>
      </w:r>
    </w:p>
    <w:p>
      <w:pPr>
        <w:spacing w:after="120" w:line="280"/>
        <w:ind w:left="360" w:hanging="360"/>
      </w:pPr>
      <w:r>
        <w:rPr>
          <w:rFonts w:ascii="Calibri" w:cs="Calibri" w:eastAsia="Calibri" w:hAnsi="Calibri"/>
          <w:b/>
          <w:bCs/>
          <w:color w:val="2563A8"/>
          <w:sz w:val="22"/>
          <w:szCs w:val="22"/>
        </w:rPr>
        <w:t xml:space="preserve">e. </w:t>
      </w:r>
      <w:r>
        <w:rPr>
          <w:rFonts w:ascii="Calibri" w:cs="Calibri" w:eastAsia="Calibri" w:hAnsi="Calibri"/>
          <w:sz w:val="22"/>
          <w:szCs w:val="22"/>
        </w:rPr>
        <w:t xml:space="preserve">Gematigd flexibel</w:t>
      </w:r>
    </w:p>
    <w:p>
      <w:pPr>
        <w:spacing w:after="120" w:line="280"/>
        <w:ind w:left="360" w:hanging="360"/>
      </w:pPr>
      <w:r>
        <w:rPr>
          <w:rFonts w:ascii="Calibri" w:cs="Calibri" w:eastAsia="Calibri" w:hAnsi="Calibri"/>
          <w:b/>
          <w:bCs/>
          <w:color w:val="2563A8"/>
          <w:sz w:val="22"/>
          <w:szCs w:val="22"/>
        </w:rPr>
        <w:t xml:space="preserve">f. </w:t>
      </w:r>
      <w:r>
        <w:rPr>
          <w:rFonts w:ascii="Calibri" w:cs="Calibri" w:eastAsia="Calibri" w:hAnsi="Calibri"/>
          <w:sz w:val="22"/>
          <w:szCs w:val="22"/>
        </w:rPr>
        <w:t xml:space="preserve">Actief gemanaged</w:t>
      </w:r>
    </w:p>
    <w:p>
      <w:pPr>
        <w:pStyle w:val="Heading2"/>
        <w:spacing w:after="120" w:before="200"/>
      </w:pPr>
      <w:r>
        <w:rPr>
          <w:rFonts w:ascii="Georgia" w:cs="Georgia" w:eastAsia="Georgia" w:hAnsi="Georgia"/>
          <w:b/>
          <w:bCs/>
          <w:color w:val="2563A8"/>
          <w:sz w:val="28"/>
          <w:szCs w:val="28"/>
        </w:rPr>
        <w:t xml:space="preserve">Modelantwoorden — Opdracht 16.2</w:t>
      </w:r>
    </w:p>
    <w:p>
      <w:pPr>
        <w:spacing w:after="140" w:line="300"/>
      </w:pPr>
      <w:r>
        <w:rPr>
          <w:rFonts w:ascii="Calibri" w:cs="Calibri" w:eastAsia="Calibri" w:hAnsi="Calibri"/>
          <w:sz w:val="22"/>
          <w:szCs w:val="22"/>
        </w:rPr>
        <w:t xml:space="preserve">Geen uniek antwoord; een plausibel patroon:</w:t>
      </w:r>
    </w:p>
    <w:p>
      <w:pPr>
        <w:pStyle w:val="ListParagraph"/>
        <w:numPr>
          <w:ilvl w:val="0"/>
          <w:numId w:val="1"/>
        </w:numPr>
        <w:spacing w:after="100" w:line="280"/>
      </w:pPr>
      <w:r>
        <w:rPr>
          <w:rFonts w:ascii="Calibri" w:cs="Calibri" w:eastAsia="Calibri" w:hAnsi="Calibri"/>
          <w:sz w:val="22"/>
          <w:szCs w:val="22"/>
        </w:rPr>
        <w:t xml:space="preserve">WGP 2.0-portaal: hoog op flexibiliteit t.a.v. wat wordt opgeleverd, hoog op vermogen iteratief te werken, gemiddeld tot hoog op acceptatie van agile (afhankelijk van de cultuur bij Klantcontact).</w:t>
      </w:r>
    </w:p>
    <w:p>
      <w:pPr>
        <w:pStyle w:val="ListParagraph"/>
        <w:numPr>
          <w:ilvl w:val="0"/>
          <w:numId w:val="1"/>
        </w:numPr>
        <w:spacing w:after="100" w:line="280"/>
      </w:pPr>
      <w:r>
        <w:rPr>
          <w:rFonts w:ascii="Calibri" w:cs="Calibri" w:eastAsia="Calibri" w:hAnsi="Calibri"/>
          <w:sz w:val="22"/>
          <w:szCs w:val="22"/>
        </w:rPr>
        <w:t xml:space="preserve">Kernsysteemkoppeling: laag op flexibiliteit (vaste technische interfaces), laag tot gemiddeld op vermogen iteratief te werken (integraties zijn vaak alles-of-niets), mogelijk hoog op samenwerking als het interne technische teams betreft.</w:t>
      </w:r>
    </w:p>
    <w:p>
      <w:pPr>
        <w:spacing w:after="140" w:line="300"/>
      </w:pPr>
      <w:r>
        <w:rPr>
          <w:rFonts w:ascii="Calibri" w:cs="Calibri" w:eastAsia="Calibri" w:hAnsi="Calibri"/>
          <w:sz w:val="22"/>
          <w:szCs w:val="22"/>
        </w:rPr>
        <w:t xml:space="preserve">Het grootste verschil zit doorgaans op "flexibiliteit ten aanzien van wat wordt opgeleverd" en "vermogen om iteratief te werken" — precies de sliders die het duidelijkst onderscheid maken tussen een gebruikersgericht en een technisch-integratief project.</w:t>
      </w:r>
    </w:p>
    <w:p>
      <w:pPr>
        <w:pStyle w:val="Heading2"/>
        <w:spacing w:after="120" w:before="200"/>
      </w:pPr>
      <w:r>
        <w:rPr>
          <w:rFonts w:ascii="Georgia" w:cs="Georgia" w:eastAsia="Georgia" w:hAnsi="Georgia"/>
          <w:b/>
          <w:bCs/>
          <w:color w:val="2563A8"/>
          <w:sz w:val="28"/>
          <w:szCs w:val="28"/>
        </w:rPr>
        <w:t xml:space="preserve">Modelantwoorden — Opdracht 16.3</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Gecompliceerd — bekend patroon, met expertise te herhalen.</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Complex — de juiste aanpak wordt pas duidelijk na gebruikersfeedback, niet vooraf volledig te specificeren.</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Chaotisch — onmiddellijke actie nodig, analyse komt later.</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Simpel/duidelijk tot gecompliceerd — goed gedocumenteerde, bekende bedrijfslogica.</w:t>
      </w:r>
    </w:p>
    <w:p>
      <w:pPr>
        <w:pStyle w:val="Heading2"/>
        <w:spacing w:after="120" w:before="200"/>
      </w:pPr>
      <w:r>
        <w:rPr>
          <w:rFonts w:ascii="Georgia" w:cs="Georgia" w:eastAsia="Georgia" w:hAnsi="Georgia"/>
          <w:b/>
          <w:bCs/>
          <w:color w:val="2563A8"/>
          <w:sz w:val="28"/>
          <w:szCs w:val="28"/>
        </w:rPr>
        <w:t xml:space="preserve">Modelantwoord — Opdracht 16.4</w:t>
      </w:r>
    </w:p>
    <w:p>
      <w:pPr>
        <w:spacing w:after="140" w:line="300"/>
      </w:pPr>
      <w:r>
        <w:rPr>
          <w:rFonts w:ascii="Calibri" w:cs="Calibri" w:eastAsia="Calibri" w:hAnsi="Calibri"/>
          <w:sz w:val="22"/>
          <w:szCs w:val="22"/>
        </w:rPr>
        <w:t xml:space="preserve">De combinatie is niet per definitie verboden, maar wel risicovol: het gevaar is dat sprint-niveau scopebeslissingen (wat gaat in de volgende sprint) de bredere, projectniveau gebruikersbelangen gaan overschaduwen omdat dezelfde persoon beide petten op heeft. Net als bij PRINCE2's rolcombinatieregels (niveau 1, deel 3, §3) geldt: het mag zolang er geen belangenconflict ontstaat, maar bij twijfel is een aparte product owner, die aan de Senior User rapporteert, veiliger.</w:t>
      </w:r>
    </w:p>
    <w:p>
      <w:pPr>
        <w:pStyle w:val="Heading2"/>
        <w:spacing w:after="120" w:before="200"/>
      </w:pPr>
      <w:r>
        <w:rPr>
          <w:rFonts w:ascii="Georgia" w:cs="Georgia" w:eastAsia="Georgia" w:hAnsi="Georgia"/>
          <w:b/>
          <w:bCs/>
          <w:color w:val="2563A8"/>
          <w:sz w:val="28"/>
          <w:szCs w:val="28"/>
        </w:rPr>
        <w:t xml:space="preserve">Modelantwoord — Reflectievraag</w:t>
      </w:r>
    </w:p>
    <w:p>
      <w:pPr>
        <w:spacing w:after="140" w:line="300"/>
      </w:pPr>
      <w:r>
        <w:rPr>
          <w:rFonts w:ascii="Calibri" w:cs="Calibri" w:eastAsia="Calibri" w:hAnsi="Calibri"/>
          <w:sz w:val="22"/>
          <w:szCs w:val="22"/>
        </w:rPr>
        <w:t xml:space="preserve">Zonder expliciete afstemming kan een Tranche Review (deel 15, §5) verkeerd geïnterpreteerde signalen krijgen: een agile project rapporteert voortgang via burn-up-grafieken en werkende increments, een traditioneel project via percentage-afgeronde activiteiten — als deze twee talen niet bewust worden vertaald naar een gemeenschappelijk beeld voor de Programme Board, ontstaat een vertekend totaalbeeld van hoe de tranche als geheel ervoor staat.</w:t>
      </w:r>
    </w:p>
    <w:p>
      <w:pPr>
        <w:pStyle w:val="Heading2"/>
        <w:spacing w:after="120" w:before="200"/>
      </w:pPr>
      <w:r>
        <w:rPr>
          <w:rFonts w:ascii="Georgia" w:cs="Georgia" w:eastAsia="Georgia" w:hAnsi="Georgia"/>
          <w:b/>
          <w:bCs/>
          <w:color w:val="2563A8"/>
          <w:sz w:val="28"/>
          <w:szCs w:val="28"/>
        </w:rPr>
        <w:t xml:space="preserve">Veelgestelde vragen</w:t>
      </w:r>
    </w:p>
    <w:p>
      <w:pPr>
        <w:pStyle w:val="ListParagraph"/>
        <w:numPr>
          <w:ilvl w:val="0"/>
          <w:numId w:val="1"/>
        </w:numPr>
        <w:spacing w:after="100" w:line="280"/>
      </w:pPr>
      <w:r>
        <w:rPr>
          <w:rFonts w:ascii="Calibri" w:cs="Calibri" w:eastAsia="Calibri" w:hAnsi="Calibri"/>
          <w:i/>
          <w:iCs/>
          <w:sz w:val="22"/>
          <w:szCs w:val="22"/>
        </w:rPr>
        <w:t xml:space="preserve">"Kan een heel programma agile worden aangepakt, in plaats van per project te kiezen?"</w:t>
      </w:r>
      <w:r>
        <w:rPr>
          <w:rFonts w:ascii="Calibri" w:cs="Calibri" w:eastAsia="Calibri" w:hAnsi="Calibri"/>
          <w:sz w:val="22"/>
          <w:szCs w:val="22"/>
        </w:rPr>
        <w:t xml:space="preserve"> In principe wel, maar MSP's multimodal-gedachte (reader §1) benadrukt juist dat de keuze per project — of zelfs per werkpakket — gemaakt zou moeten worden, gebaseerd op de aard van dát werk, niet op een programmabrede voorkeur.</w:t>
      </w:r>
    </w:p>
    <w:p>
      <w:pPr>
        <w:pStyle w:val="ListParagraph"/>
        <w:numPr>
          <w:ilvl w:val="0"/>
          <w:numId w:val="1"/>
        </w:numPr>
        <w:spacing w:after="100" w:line="280"/>
      </w:pPr>
      <w:r>
        <w:rPr>
          <w:rFonts w:ascii="Calibri" w:cs="Calibri" w:eastAsia="Calibri" w:hAnsi="Calibri"/>
          <w:i/>
          <w:iCs/>
          <w:sz w:val="22"/>
          <w:szCs w:val="22"/>
        </w:rPr>
        <w:t xml:space="preserve">"Is PRINCE2 Agile hetzelfde als Scrum?"</w:t>
      </w:r>
      <w:r>
        <w:rPr>
          <w:rFonts w:ascii="Calibri" w:cs="Calibri" w:eastAsia="Calibri" w:hAnsi="Calibri"/>
          <w:sz w:val="22"/>
          <w:szCs w:val="22"/>
        </w:rPr>
        <w:t xml:space="preserve"> Nee — Scrum (en Kanban, Lean Start-up) zijn de agile werkwijzen zelf, uitgebreid behandeld in de scrumcursus; PRINCE2 Agile is het besturingskader waarbinnen die werkwijzen worden ingebed.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2 Professional · Deel 16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2026-08-17T07:41:33.339Z</dcterms:created>
  <dcterms:modified xsi:type="dcterms:W3CDTF">2026-08-17T07:41:33.339Z</dcterms:modified>
</cp:coreProperties>
</file>

<file path=docProps/custom.xml><?xml version="1.0" encoding="utf-8"?>
<Properties xmlns="http://schemas.openxmlformats.org/officeDocument/2006/custom-properties" xmlns:vt="http://schemas.openxmlformats.org/officeDocument/2006/docPropsVTypes"/>
</file>