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17 — Planning en beheersing op programmaschaal</w:t>
      </w:r>
    </w:p>
    <w:p>
      <w:pPr>
        <w:spacing w:after="300"/>
      </w:pPr>
      <w:r>
        <w:rPr>
          <w:rFonts w:ascii="Calibri" w:cs="Calibri" w:eastAsia="Calibri" w:hAnsi="Calibri"/>
          <w:i/>
          <w:iCs/>
          <w:color w:val="2563A8"/>
          <w:sz w:val="22"/>
          <w:szCs w:val="22"/>
        </w:rPr>
        <w:t xml:space="preserve">Niveau 2 Professional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17 (deel 7 van niveau 2)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deelnemers laten zien dat programmaplanning een kwalitatief andere activiteit is dan projectplanning opschalen — het draait om afhankelijkheden, capaciteit en aggregatie, niet om meer van hetzelfde.</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16, introductie: meer dan een optelsom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 soorten afhankelijkheden (reader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17.1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afhankelijkheidsnetwerk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17.2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Resourcemanagement op schaal (reader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Earned Value op programmaschaal (reader §5) + opdracht 17.3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 + 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2:20–2:28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17.4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2:28–2:30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Bij opdracht 17.1 is (a) versus (d) een goed contrastpunt.</w:t>
      </w:r>
      <w:r>
        <w:rPr>
          <w:rFonts w:ascii="Calibri" w:cs="Calibri" w:eastAsia="Calibri" w:hAnsi="Calibri"/>
          <w:sz w:val="22"/>
          <w:szCs w:val="22"/>
        </w:rPr>
        <w:t xml:space="preserve"> Beide zijn capaciteitsafhankelijkheden, maar (a) betreft een externe leverancier (vaak op te lossen met extra inkoop) terwijl (d) een schaarse interne specialist betreft (vaak niet simpelweg bij te kopen) — laat dit onderscheid expliciet benoemen, het bepaalt namelijk welke oplossingsrichtingen realistisch zijn.</w:t>
      </w:r>
    </w:p>
    <w:p>
      <w:pPr>
        <w:pStyle w:val="ListParagraph"/>
        <w:numPr>
          <w:ilvl w:val="0"/>
          <w:numId w:val="1"/>
        </w:numPr>
        <w:spacing w:after="100" w:line="280"/>
      </w:pPr>
      <w:r>
        <w:rPr>
          <w:rFonts w:ascii="Calibri" w:cs="Calibri" w:eastAsia="Calibri" w:hAnsi="Calibri"/>
          <w:b/>
          <w:bCs/>
          <w:sz w:val="22"/>
          <w:szCs w:val="22"/>
        </w:rPr>
        <w:t xml:space="preserve">Bij opdracht 17.2 is het doel niet een perfect volledig netwerk, maar het onderscheid tussen de drie afhankelijkheidstypen scherp te krijgen.</w:t>
      </w:r>
      <w:r>
        <w:rPr>
          <w:rFonts w:ascii="Calibri" w:cs="Calibri" w:eastAsia="Calibri" w:hAnsi="Calibri"/>
          <w:sz w:val="22"/>
          <w:szCs w:val="22"/>
        </w:rPr>
        <w:t xml:space="preserve"> Sta toe dat groepen tot verschillende, beide verdedigbare netwerken komen.</w:t>
      </w:r>
    </w:p>
    <w:p>
      <w:pPr>
        <w:pStyle w:val="ListParagraph"/>
        <w:numPr>
          <w:ilvl w:val="0"/>
          <w:numId w:val="1"/>
        </w:numPr>
        <w:spacing w:after="100" w:line="280"/>
      </w:pPr>
      <w:r>
        <w:rPr>
          <w:rFonts w:ascii="Calibri" w:cs="Calibri" w:eastAsia="Calibri" w:hAnsi="Calibri"/>
          <w:b/>
          <w:bCs/>
          <w:sz w:val="22"/>
          <w:szCs w:val="22"/>
        </w:rPr>
        <w:t xml:space="preserve">De kern van dit deel zit in opdracht 17.3 — laat deelnemers zelf ontdekken dat een enkel geaggregeerd cijfer een vals gevoel van precisie kan geven.</w:t>
      </w:r>
      <w:r>
        <w:rPr>
          <w:rFonts w:ascii="Calibri" w:cs="Calibri" w:eastAsia="Calibri" w:hAnsi="Calibri"/>
          <w:sz w:val="22"/>
          <w:szCs w:val="22"/>
        </w:rPr>
        <w:t xml:space="preserve"> Vermijd het te snel zelf te benoemen; laat de groep eerst zelf proberen te beargumenteren waarom SPI 0,95/CPI 1,05 "goed nieuws" lijkt, en daag dan uit: wat als het traditionele project dik binnen tolerantie zit maar het agile project juist worstelt, en de cijfers dat verhullen door aggregatie?</w:t>
      </w:r>
    </w:p>
    <w:p>
      <w:pPr>
        <w:pStyle w:val="ListParagraph"/>
        <w:numPr>
          <w:ilvl w:val="0"/>
          <w:numId w:val="1"/>
        </w:numPr>
        <w:spacing w:after="100" w:line="280"/>
      </w:pPr>
      <w:r>
        <w:rPr>
          <w:rFonts w:ascii="Calibri" w:cs="Calibri" w:eastAsia="Calibri" w:hAnsi="Calibri"/>
          <w:b/>
          <w:bCs/>
          <w:sz w:val="22"/>
          <w:szCs w:val="22"/>
        </w:rPr>
        <w:t xml:space="preserve">Bij opdracht 17.4 is het onderscheid escalatieniveau (Programme Board versus projectniveau) een herhaling van het escalatieprincipe uit deel 14</w:t>
      </w:r>
      <w:r>
        <w:rPr>
          <w:rFonts w:ascii="Calibri" w:cs="Calibri" w:eastAsia="Calibri" w:hAnsi="Calibri"/>
          <w:sz w:val="22"/>
          <w:szCs w:val="22"/>
        </w:rPr>
        <w:t xml:space="preserve"> — verwijs er expliciet naar terug in plaats van het gevoel te geven dat dit nieuwe stof is.</w:t>
      </w:r>
    </w:p>
    <w:p>
      <w:pPr>
        <w:pStyle w:val="Heading2"/>
        <w:spacing w:after="120" w:before="200"/>
      </w:pPr>
      <w:r>
        <w:rPr>
          <w:rFonts w:ascii="Georgia" w:cs="Georgia" w:eastAsia="Georgia" w:hAnsi="Georgia"/>
          <w:b/>
          <w:bCs/>
          <w:color w:val="2563A8"/>
          <w:sz w:val="28"/>
          <w:szCs w:val="28"/>
        </w:rPr>
        <w:t xml:space="preserve">Modelantwoorden — Opdracht 17.1</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Capaciteitsafhankelijkheid (extern).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Volgtijdelijke afhankelijkheid.</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Technische afhankelijkheid.</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Capaciteitsafhankelijkheid (intern, schaars specialisme — lastiger op te lossen dan a).</w:t>
      </w:r>
    </w:p>
    <w:p>
      <w:pPr>
        <w:pStyle w:val="Heading2"/>
        <w:spacing w:after="120" w:before="200"/>
      </w:pPr>
      <w:r>
        <w:rPr>
          <w:rFonts w:ascii="Georgia" w:cs="Georgia" w:eastAsia="Georgia" w:hAnsi="Georgia"/>
          <w:b/>
          <w:bCs/>
          <w:color w:val="2563A8"/>
          <w:sz w:val="28"/>
          <w:szCs w:val="28"/>
        </w:rPr>
        <w:t xml:space="preserve">Modelantwoorden — Opdracht 17.2</w:t>
      </w:r>
    </w:p>
    <w:p>
      <w:pPr>
        <w:spacing w:after="140" w:line="300"/>
      </w:pPr>
      <w:r>
        <w:rPr>
          <w:rFonts w:ascii="Calibri" w:cs="Calibri" w:eastAsia="Calibri" w:hAnsi="Calibri"/>
          <w:sz w:val="22"/>
          <w:szCs w:val="22"/>
        </w:rPr>
        <w:t xml:space="preserve">Kern van een correct netwerk: kernsysteemkoppeling en validatieregels als vroege knooppunten waarvan WGP 2.0 en interne automatisering afhankelijk zijn (technisch); een gedeelde-capaciteitspijl (stippellijn, geen strikte volgorde) tussen WGP 2.0 en interne automatisering; het trainingsprogramma als laatste knooppunt, volgtijdelijk afhankelijk van de andere vier.</w:t>
      </w:r>
    </w:p>
    <w:p>
      <w:pPr>
        <w:pStyle w:val="Heading2"/>
        <w:spacing w:after="120" w:before="200"/>
      </w:pPr>
      <w:r>
        <w:rPr>
          <w:rFonts w:ascii="Georgia" w:cs="Georgia" w:eastAsia="Georgia" w:hAnsi="Georgia"/>
          <w:b/>
          <w:bCs/>
          <w:color w:val="2563A8"/>
          <w:sz w:val="28"/>
          <w:szCs w:val="28"/>
        </w:rPr>
        <w:t xml:space="preserve">Modelantwoorden — Opdracht 17.3</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Oppervlakkig: het programma lijkt licht achter op schema maar kostenefficiënt — een op het eerste gezicht gezond beeld.</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De Programme Board zou moeten vragen: hoe zijn de agile en traditionele voortgangscijfers vertaald naar één vergelijkbare maat, en verhullen de samengevoegde cijfers mogelijk dat één van de twee projecten sterk afwijkt terwijl het andere dat compenseert in het gemiddelde?</w:t>
      </w:r>
    </w:p>
    <w:p>
      <w:pPr>
        <w:pStyle w:val="Heading2"/>
        <w:spacing w:after="120" w:before="200"/>
      </w:pPr>
      <w:r>
        <w:rPr>
          <w:rFonts w:ascii="Georgia" w:cs="Georgia" w:eastAsia="Georgia" w:hAnsi="Georgia"/>
          <w:b/>
          <w:bCs/>
          <w:color w:val="2563A8"/>
          <w:sz w:val="28"/>
          <w:szCs w:val="28"/>
        </w:rPr>
        <w:t xml:space="preserve">Modelantwoord — Opdracht 17.4</w:t>
      </w:r>
    </w:p>
    <w:p>
      <w:pPr>
        <w:spacing w:after="140" w:line="300"/>
      </w:pPr>
      <w:r>
        <w:rPr>
          <w:rFonts w:ascii="Calibri" w:cs="Calibri" w:eastAsia="Calibri" w:hAnsi="Calibri"/>
          <w:sz w:val="22"/>
          <w:szCs w:val="22"/>
        </w:rPr>
        <w:t xml:space="preserve">Mogelijke richtingen: (1) de testvensters van de twee projecten enigszins verschuiven zodat ze elkaar minder overlappen — dit kan vaak op projectniveau tussen de twee projectmanagers worden afgestemd, zonder escalatie; (2) extra tijdelijke testcapaciteit inhuren of prioriteren — dit raakt budget en prioriteit tussen projecten, en hoort eerder bij de Programme Board thuis, zeker als het ene project voorrang zou krijgen ten koste van het andere.</w:t>
      </w:r>
    </w:p>
    <w:p>
      <w:pPr>
        <w:pStyle w:val="Heading2"/>
        <w:spacing w:after="120" w:before="200"/>
      </w:pPr>
      <w:r>
        <w:rPr>
          <w:rFonts w:ascii="Georgia" w:cs="Georgia" w:eastAsia="Georgia" w:hAnsi="Georgia"/>
          <w:b/>
          <w:bCs/>
          <w:color w:val="2563A8"/>
          <w:sz w:val="28"/>
          <w:szCs w:val="28"/>
        </w:rPr>
        <w:t xml:space="preserve">Modelantwoord — Reflectievraag</w:t>
      </w:r>
    </w:p>
    <w:p>
      <w:pPr>
        <w:spacing w:after="140" w:line="300"/>
      </w:pPr>
      <w:r>
        <w:rPr>
          <w:rFonts w:ascii="Calibri" w:cs="Calibri" w:eastAsia="Calibri" w:hAnsi="Calibri"/>
          <w:sz w:val="22"/>
          <w:szCs w:val="22"/>
        </w:rPr>
        <w:t xml:space="preserve">Een Programme Board die een geaggregeerd cijfer als exacte waarheid behandelt, loopt het risico verkeerde besluiten te nemen bij een Tranche Review (deel 15, §5) — bijvoorbeeld "doorgaan zoals gepland" terwijl één onderliggend project in werkelijkheid al buiten tolerantie is, gemaskeerd doordat het andere project ruim binnen tolerantie zit. Transparantie over de aannames voorkomt dat een schijnbaar gezond gemiddelde een reëel probleem verbergt.</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"Wie is verantwoordelijk voor het bijhouden van het afhankelijkheidsnetwerk?"</w:t>
      </w:r>
      <w:r>
        <w:rPr>
          <w:rFonts w:ascii="Calibri" w:cs="Calibri" w:eastAsia="Calibri" w:hAnsi="Calibri"/>
          <w:sz w:val="22"/>
          <w:szCs w:val="22"/>
        </w:rPr>
        <w:t xml:space="preserve"> In de praktijk meestal het Programme Office (deel 14, §2), in nauwe samenwerking met de projectmanagers van de afzonderlijke projecten.</w:t>
      </w:r>
    </w:p>
    <w:p>
      <w:pPr>
        <w:pStyle w:val="ListParagraph"/>
        <w:numPr>
          <w:ilvl w:val="0"/>
          <w:numId w:val="1"/>
        </w:numPr>
        <w:spacing w:after="100" w:line="280"/>
      </w:pPr>
      <w:r>
        <w:rPr>
          <w:rFonts w:ascii="Calibri" w:cs="Calibri" w:eastAsia="Calibri" w:hAnsi="Calibri"/>
          <w:i/>
          <w:iCs/>
          <w:sz w:val="22"/>
          <w:szCs w:val="22"/>
        </w:rPr>
        <w:t xml:space="preserve">"Moet elk klein resourceconflict naar de Programme Board?"</w:t>
      </w:r>
      <w:r>
        <w:rPr>
          <w:rFonts w:ascii="Calibri" w:cs="Calibri" w:eastAsia="Calibri" w:hAnsi="Calibri"/>
          <w:sz w:val="22"/>
          <w:szCs w:val="22"/>
        </w:rPr>
        <w:t xml:space="preserve"> Nee — net als bij toleranties op projectniveau (niveau 1, deel 6) geldt: alleen conflicten die de programmatoleranties raken of tussen projecten prioritering vereisen, worden geëscaleerd; de rest wordt lager opgelost.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17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2026-08-17T07:46:48.660Z</dcterms:created>
  <dcterms:modified xsi:type="dcterms:W3CDTF">2026-08-17T07:46:48.660Z</dcterms:modified>
</cp:coreProperties>
</file>

<file path=docProps/custom.xml><?xml version="1.0" encoding="utf-8"?>
<Properties xmlns="http://schemas.openxmlformats.org/officeDocument/2006/custom-properties" xmlns:vt="http://schemas.openxmlformats.org/officeDocument/2006/docPropsVTypes"/>
</file>