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17 — Planning en beheersing op programmaschaal</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Meer dan een optelsom</w:t>
      </w:r>
    </w:p>
    <w:p>
      <w:pPr>
        <w:spacing w:after="140" w:line="300"/>
      </w:pPr>
      <w:r>
        <w:rPr>
          <w:rFonts w:ascii="Calibri" w:cs="Calibri" w:eastAsia="Calibri" w:hAnsi="Calibri"/>
          <w:sz w:val="22"/>
          <w:szCs w:val="22"/>
        </w:rPr>
        <w:t xml:space="preserve">Een programmaplan is geen simpele optelling van vijf projectplannen naast elkaar. Wat een programma toevoegt — en wat op projectniveau (niveau 1) niet nodig was — is het expliciet beheren van </w:t>
      </w:r>
      <w:r>
        <w:rPr>
          <w:rFonts w:ascii="Calibri" w:cs="Calibri" w:eastAsia="Calibri" w:hAnsi="Calibri"/>
          <w:b/>
          <w:bCs/>
          <w:sz w:val="22"/>
          <w:szCs w:val="22"/>
        </w:rPr>
        <w:t xml:space="preserve">afhankelijkheden tussen</w:t>
      </w:r>
      <w:r>
        <w:rPr>
          <w:rFonts w:ascii="Calibri" w:cs="Calibri" w:eastAsia="Calibri" w:hAnsi="Calibri"/>
          <w:sz w:val="22"/>
          <w:szCs w:val="22"/>
        </w:rPr>
        <w:t xml:space="preserve"> projecten, </w:t>
      </w:r>
      <w:r>
        <w:rPr>
          <w:rFonts w:ascii="Calibri" w:cs="Calibri" w:eastAsia="Calibri" w:hAnsi="Calibri"/>
          <w:b/>
          <w:bCs/>
          <w:sz w:val="22"/>
          <w:szCs w:val="22"/>
        </w:rPr>
        <w:t xml:space="preserve">gedeelde capaciteit</w:t>
      </w:r>
      <w:r>
        <w:rPr>
          <w:rFonts w:ascii="Calibri" w:cs="Calibri" w:eastAsia="Calibri" w:hAnsi="Calibri"/>
          <w:sz w:val="22"/>
          <w:szCs w:val="22"/>
        </w:rPr>
        <w:t xml:space="preserve">, en een </w:t>
      </w:r>
      <w:r>
        <w:rPr>
          <w:rFonts w:ascii="Calibri" w:cs="Calibri" w:eastAsia="Calibri" w:hAnsi="Calibri"/>
          <w:b/>
          <w:bCs/>
          <w:sz w:val="22"/>
          <w:szCs w:val="22"/>
        </w:rPr>
        <w:t xml:space="preserve">geaggregeerd beeld</w:t>
      </w:r>
      <w:r>
        <w:rPr>
          <w:rFonts w:ascii="Calibri" w:cs="Calibri" w:eastAsia="Calibri" w:hAnsi="Calibri"/>
          <w:sz w:val="22"/>
          <w:szCs w:val="22"/>
        </w:rPr>
        <w:t xml:space="preserve"> van voortgang dat de Programme Board (deel 14) kan gebruiken zonder in projectdetails te verzanden.</w:t>
      </w:r>
    </w:p>
    <w:p>
      <w:pPr>
        <w:pStyle w:val="Heading2"/>
        <w:spacing w:after="120" w:before="200"/>
      </w:pPr>
      <w:r>
        <w:rPr>
          <w:rFonts w:ascii="Georgia" w:cs="Georgia" w:eastAsia="Georgia" w:hAnsi="Georgia"/>
          <w:b/>
          <w:bCs/>
          <w:color w:val="2563A8"/>
          <w:sz w:val="28"/>
          <w:szCs w:val="28"/>
        </w:rPr>
        <w:t xml:space="preserve">2. Soorten afhankelijkheden tussen projecten</w:t>
      </w:r>
    </w:p>
    <w:p>
      <w:pPr>
        <w:pStyle w:val="ListParagraph"/>
        <w:numPr>
          <w:ilvl w:val="0"/>
          <w:numId w:val="1"/>
        </w:numPr>
        <w:spacing w:after="100" w:line="280"/>
      </w:pPr>
      <w:r>
        <w:rPr>
          <w:rFonts w:ascii="Calibri" w:cs="Calibri" w:eastAsia="Calibri" w:hAnsi="Calibri"/>
          <w:b/>
          <w:bCs/>
          <w:sz w:val="22"/>
          <w:szCs w:val="22"/>
        </w:rPr>
        <w:t xml:space="preserve">Technische afhankelijkheden</w:t>
      </w:r>
      <w:r>
        <w:rPr>
          <w:rFonts w:ascii="Calibri" w:cs="Calibri" w:eastAsia="Calibri" w:hAnsi="Calibri"/>
          <w:sz w:val="22"/>
          <w:szCs w:val="22"/>
        </w:rPr>
        <w:t xml:space="preserve"> — het ene project levert een component die het andere nodig heeft. Bij het Programma Mutatieplatform: WGP 2.0 (het portaal) is afhankelijk van de kernsysteemkoppeling; zonder die koppeling kan het portaal geen mutaties daadwerkelijk verwerken.</w:t>
      </w:r>
    </w:p>
    <w:p>
      <w:pPr>
        <w:pStyle w:val="ListParagraph"/>
        <w:numPr>
          <w:ilvl w:val="0"/>
          <w:numId w:val="1"/>
        </w:numPr>
        <w:spacing w:after="100" w:line="280"/>
      </w:pPr>
      <w:r>
        <w:rPr>
          <w:rFonts w:ascii="Calibri" w:cs="Calibri" w:eastAsia="Calibri" w:hAnsi="Calibri"/>
          <w:b/>
          <w:bCs/>
          <w:sz w:val="22"/>
          <w:szCs w:val="22"/>
        </w:rPr>
        <w:t xml:space="preserve">Capaciteitsafhankelijkheden</w:t>
      </w:r>
      <w:r>
        <w:rPr>
          <w:rFonts w:ascii="Calibri" w:cs="Calibri" w:eastAsia="Calibri" w:hAnsi="Calibri"/>
          <w:sz w:val="22"/>
          <w:szCs w:val="22"/>
        </w:rPr>
        <w:t xml:space="preserve"> — projecten delen dezelfde schaarse mensen of middelen. Twee projecten die tegelijk dezelfde integratiespecialisten nodig hebben, concurreren om capaciteit, ook als er geen technische relatie tussen hen bestaat.</w:t>
      </w:r>
    </w:p>
    <w:p>
      <w:pPr>
        <w:pStyle w:val="ListParagraph"/>
        <w:numPr>
          <w:ilvl w:val="0"/>
          <w:numId w:val="1"/>
        </w:numPr>
        <w:spacing w:after="100" w:line="280"/>
      </w:pPr>
      <w:r>
        <w:rPr>
          <w:rFonts w:ascii="Calibri" w:cs="Calibri" w:eastAsia="Calibri" w:hAnsi="Calibri"/>
          <w:b/>
          <w:bCs/>
          <w:sz w:val="22"/>
          <w:szCs w:val="22"/>
        </w:rPr>
        <w:t xml:space="preserve">Volgtijdelijke afhankelijkheden</w:t>
      </w:r>
      <w:r>
        <w:rPr>
          <w:rFonts w:ascii="Calibri" w:cs="Calibri" w:eastAsia="Calibri" w:hAnsi="Calibri"/>
          <w:sz w:val="22"/>
          <w:szCs w:val="22"/>
        </w:rPr>
        <w:t xml:space="preserve"> — de output van het ene project is een noodzakelijke input voor het andere, zonder dat er sprake is van gedeelde techniek: bijvoorbeeld, het trainingsprogramma kan pas goed vorm krijgen zodra de nieuwe werkwijze (uit andere projecten) grotendeels vaststaat.</w:t>
      </w:r>
    </w:p>
    <w:p>
      <w:pPr>
        <w:spacing w:after="140" w:line="300"/>
      </w:pPr>
      <w:r>
        <w:rPr>
          <w:rFonts w:ascii="Calibri" w:cs="Calibri" w:eastAsia="Calibri" w:hAnsi="Calibri"/>
          <w:sz w:val="22"/>
          <w:szCs w:val="22"/>
        </w:rPr>
        <w:t xml:space="preserve">Deze drie typen afhankelijkheden bepalen mede de tranche-indeling uit deel 15: de kernsysteemkoppeling stond in tranche 1 juist omdát andere projecten er technisch van afhankelijk zijn.</w:t>
      </w:r>
    </w:p>
    <w:p>
      <w:pPr>
        <w:pStyle w:val="Heading2"/>
        <w:spacing w:after="120" w:before="200"/>
      </w:pPr>
      <w:r>
        <w:rPr>
          <w:rFonts w:ascii="Georgia" w:cs="Georgia" w:eastAsia="Georgia" w:hAnsi="Georgia"/>
          <w:b/>
          <w:bCs/>
          <w:color w:val="2563A8"/>
          <w:sz w:val="28"/>
          <w:szCs w:val="28"/>
        </w:rPr>
        <w:t xml:space="preserve">3. Het programmabrede afhankelijkheidsnetwerk</w:t>
      </w:r>
    </w:p>
    <w:p>
      <w:pPr>
        <w:spacing w:after="140" w:line="300"/>
      </w:pPr>
      <w:r>
        <w:rPr>
          <w:rFonts w:ascii="Calibri" w:cs="Calibri" w:eastAsia="Calibri" w:hAnsi="Calibri"/>
          <w:sz w:val="22"/>
          <w:szCs w:val="22"/>
        </w:rPr>
        <w:t xml:space="preserve">Vergelijkbaar met het Product Flow Diagram uit PRINCE2 (niveau 1, deel 4) of de netwerkplanning uit IPMA-D (niveau 1, deel 9), maar dan een niveau hoger: in plaats van producten binnen één project, toont dit netwerk </w:t>
      </w:r>
      <w:r>
        <w:rPr>
          <w:rFonts w:ascii="Calibri" w:cs="Calibri" w:eastAsia="Calibri" w:hAnsi="Calibri"/>
          <w:b/>
          <w:bCs/>
          <w:sz w:val="22"/>
          <w:szCs w:val="22"/>
        </w:rPr>
        <w:t xml:space="preserve">projecten en hun onderlinge afhankelijkheden</w:t>
      </w:r>
      <w:r>
        <w:rPr>
          <w:rFonts w:ascii="Calibri" w:cs="Calibri" w:eastAsia="Calibri" w:hAnsi="Calibri"/>
          <w:sz w:val="22"/>
          <w:szCs w:val="22"/>
        </w:rPr>
        <w:t xml:space="preserve"> binnen het hele programma. Het detailniveau is bewust grover — een programmamanager hoeft niet elke activiteit binnen een project te zien, wel elk raakvlak tussen projecten. Precies zoals een PBS geen volgorde toont maar samenstelling (niveau 1, deel 4), toont dit netwerk vooral </w:t>
      </w:r>
      <w:r>
        <w:rPr>
          <w:rFonts w:ascii="Calibri" w:cs="Calibri" w:eastAsia="Calibri" w:hAnsi="Calibri"/>
          <w:b/>
          <w:bCs/>
          <w:sz w:val="22"/>
          <w:szCs w:val="22"/>
        </w:rPr>
        <w:t xml:space="preserve">welke projecten op elkaar wachten</w:t>
      </w:r>
      <w:r>
        <w:rPr>
          <w:rFonts w:ascii="Calibri" w:cs="Calibri" w:eastAsia="Calibri" w:hAnsi="Calibri"/>
          <w:sz w:val="22"/>
          <w:szCs w:val="22"/>
        </w:rPr>
        <w:t xml:space="preserve">, niet hoe elk project intern is opgebouwd.</w:t>
      </w:r>
    </w:p>
    <w:p>
      <w:pPr>
        <w:pStyle w:val="Heading2"/>
        <w:spacing w:after="120" w:before="200"/>
      </w:pPr>
      <w:r>
        <w:rPr>
          <w:rFonts w:ascii="Georgia" w:cs="Georgia" w:eastAsia="Georgia" w:hAnsi="Georgia"/>
          <w:b/>
          <w:bCs/>
          <w:color w:val="2563A8"/>
          <w:sz w:val="28"/>
          <w:szCs w:val="28"/>
        </w:rPr>
        <w:t xml:space="preserve">4. Resourcemanagement op programmaschaal</w:t>
      </w:r>
    </w:p>
    <w:p>
      <w:pPr>
        <w:spacing w:after="140" w:line="300"/>
      </w:pPr>
      <w:r>
        <w:rPr>
          <w:rFonts w:ascii="Calibri" w:cs="Calibri" w:eastAsia="Calibri" w:hAnsi="Calibri"/>
          <w:sz w:val="22"/>
          <w:szCs w:val="22"/>
        </w:rPr>
        <w:t xml:space="preserve">De </w:t>
      </w:r>
      <w:r>
        <w:rPr>
          <w:rFonts w:ascii="Calibri" w:cs="Calibri" w:eastAsia="Calibri" w:hAnsi="Calibri"/>
          <w:b/>
          <w:bCs/>
          <w:sz w:val="22"/>
          <w:szCs w:val="22"/>
        </w:rPr>
        <w:t xml:space="preserve">resource management strategy en het resource management plan</w:t>
      </w:r>
      <w:r>
        <w:rPr>
          <w:rFonts w:ascii="Calibri" w:cs="Calibri" w:eastAsia="Calibri" w:hAnsi="Calibri"/>
          <w:sz w:val="22"/>
          <w:szCs w:val="22"/>
        </w:rPr>
        <w:t xml:space="preserve"> (deel 13, §3 — een van de bouwstenen van de programmatische business case) regelen hoe mensen, geld en middelen over de projecten heen worden verdeeld en bewaakt. Dit is een kerntaak van het Programme Office (deel 14, §2): het signaleren van resourceconflicten vóórdat ze tot vertraging leiden, niet pas erna.</w:t>
      </w:r>
    </w:p>
    <w:p>
      <w:pPr>
        <w:spacing w:after="140" w:line="300"/>
      </w:pPr>
      <w:r>
        <w:rPr>
          <w:rFonts w:ascii="Calibri" w:cs="Calibri" w:eastAsia="Calibri" w:hAnsi="Calibri"/>
          <w:sz w:val="22"/>
          <w:szCs w:val="22"/>
        </w:rPr>
        <w:t xml:space="preserve">Een goed ingericht resourcemanagement maakt onderscheid tussen:</w:t>
      </w:r>
    </w:p>
    <w:p>
      <w:pPr>
        <w:pStyle w:val="ListParagraph"/>
        <w:numPr>
          <w:ilvl w:val="0"/>
          <w:numId w:val="1"/>
        </w:numPr>
        <w:spacing w:after="100" w:line="280"/>
      </w:pPr>
      <w:r>
        <w:rPr>
          <w:rFonts w:ascii="Calibri" w:cs="Calibri" w:eastAsia="Calibri" w:hAnsi="Calibri"/>
          <w:b/>
          <w:bCs/>
          <w:sz w:val="22"/>
          <w:szCs w:val="22"/>
        </w:rPr>
        <w:t xml:space="preserve">Gedeelde, schaarse specialismen</w:t>
      </w:r>
      <w:r>
        <w:rPr>
          <w:rFonts w:ascii="Calibri" w:cs="Calibri" w:eastAsia="Calibri" w:hAnsi="Calibri"/>
          <w:sz w:val="22"/>
          <w:szCs w:val="22"/>
        </w:rPr>
        <w:t xml:space="preserve"> (bijvoorbeeld: één integratiearchitect die door meerdere projecten wordt gevraagd) — hier is expliciete prioritering nodig, meestal door de Programme Board.</w:t>
      </w:r>
    </w:p>
    <w:p>
      <w:pPr>
        <w:pStyle w:val="ListParagraph"/>
        <w:numPr>
          <w:ilvl w:val="0"/>
          <w:numId w:val="1"/>
        </w:numPr>
        <w:spacing w:after="100" w:line="280"/>
      </w:pPr>
      <w:r>
        <w:rPr>
          <w:rFonts w:ascii="Calibri" w:cs="Calibri" w:eastAsia="Calibri" w:hAnsi="Calibri"/>
          <w:b/>
          <w:bCs/>
          <w:sz w:val="22"/>
          <w:szCs w:val="22"/>
        </w:rPr>
        <w:t xml:space="preserve">Generieke capaciteit</w:t>
      </w:r>
      <w:r>
        <w:rPr>
          <w:rFonts w:ascii="Calibri" w:cs="Calibri" w:eastAsia="Calibri" w:hAnsi="Calibri"/>
          <w:sz w:val="22"/>
          <w:szCs w:val="22"/>
        </w:rPr>
        <w:t xml:space="preserve"> die redelijk uitwisselbaar is tussen projecten — hier volstaat lichtere coördinatie.</w:t>
      </w:r>
    </w:p>
    <w:p>
      <w:pPr>
        <w:pStyle w:val="Heading2"/>
        <w:spacing w:after="120" w:before="200"/>
      </w:pPr>
      <w:r>
        <w:rPr>
          <w:rFonts w:ascii="Georgia" w:cs="Georgia" w:eastAsia="Georgia" w:hAnsi="Georgia"/>
          <w:b/>
          <w:bCs/>
          <w:color w:val="2563A8"/>
          <w:sz w:val="28"/>
          <w:szCs w:val="28"/>
        </w:rPr>
        <w:t xml:space="preserve">5. Earned Value op programmaschaal</w:t>
      </w:r>
    </w:p>
    <w:p>
      <w:pPr>
        <w:spacing w:after="140" w:line="300"/>
      </w:pPr>
      <w:r>
        <w:rPr>
          <w:rFonts w:ascii="Calibri" w:cs="Calibri" w:eastAsia="Calibri" w:hAnsi="Calibri"/>
          <w:sz w:val="22"/>
          <w:szCs w:val="22"/>
        </w:rPr>
        <w:t xml:space="preserve">Niveau 1 (deel 9) introduceerde Earned Value Analysis op projectniveau: PV, EV, AC, en de afgeleide SV/CV/SPI/CPI. Op programmaniveau is het aantrekkelijk om deze cijfers te </w:t>
      </w:r>
      <w:r>
        <w:rPr>
          <w:rFonts w:ascii="Calibri" w:cs="Calibri" w:eastAsia="Calibri" w:hAnsi="Calibri"/>
          <w:b/>
          <w:bCs/>
          <w:sz w:val="22"/>
          <w:szCs w:val="22"/>
        </w:rPr>
        <w:t xml:space="preserve">aggregeren</w:t>
      </w:r>
      <w:r>
        <w:rPr>
          <w:rFonts w:ascii="Calibri" w:cs="Calibri" w:eastAsia="Calibri" w:hAnsi="Calibri"/>
          <w:sz w:val="22"/>
          <w:szCs w:val="22"/>
        </w:rPr>
        <w:t xml:space="preserve"> over projecten heen, zodat de Programme Board in één oogopslag ziet hoe het programma er financieel en qua doorlooptijd voor staat.</w:t>
      </w:r>
    </w:p>
    <w:p>
      <w:pPr>
        <w:spacing w:after="140" w:line="300"/>
      </w:pPr>
      <w:r>
        <w:rPr>
          <w:rFonts w:ascii="Calibri" w:cs="Calibri" w:eastAsia="Calibri" w:hAnsi="Calibri"/>
          <w:sz w:val="22"/>
          <w:szCs w:val="22"/>
        </w:rPr>
        <w:t xml:space="preserve">Dit is echter minder vanzelfsprekend dan het klinkt, om twee redenen:</w:t>
      </w:r>
    </w:p>
    <w:p>
      <w:pPr>
        <w:pStyle w:val="ListParagraph"/>
        <w:numPr>
          <w:ilvl w:val="0"/>
          <w:numId w:val="1"/>
        </w:numPr>
        <w:spacing w:after="100" w:line="280"/>
      </w:pPr>
      <w:r>
        <w:rPr>
          <w:rFonts w:ascii="Calibri" w:cs="Calibri" w:eastAsia="Calibri" w:hAnsi="Calibri"/>
          <w:b/>
          <w:bCs/>
          <w:sz w:val="22"/>
          <w:szCs w:val="22"/>
        </w:rPr>
        <w:t xml:space="preserve">Verschillende voortgangsdefinities.</w:t>
      </w:r>
      <w:r>
        <w:rPr>
          <w:rFonts w:ascii="Calibri" w:cs="Calibri" w:eastAsia="Calibri" w:hAnsi="Calibri"/>
          <w:sz w:val="22"/>
          <w:szCs w:val="22"/>
        </w:rPr>
        <w:t xml:space="preserve"> Een traditioneel project meet voortgang via opgeleverde producten tegen een vooraf vastgesteld plan; een agile project (deel 16) meet voortgang via werkende increments en velocity. Beide "tellen mee" voor het geaggregeerde beeld, maar zijn niet één-op-één vergelijkbaar zonder bewuste vertaalslag.</w:t>
      </w:r>
    </w:p>
    <w:p>
      <w:pPr>
        <w:pStyle w:val="ListParagraph"/>
        <w:numPr>
          <w:ilvl w:val="0"/>
          <w:numId w:val="1"/>
        </w:numPr>
        <w:spacing w:after="100" w:line="280"/>
      </w:pPr>
      <w:r>
        <w:rPr>
          <w:rFonts w:ascii="Calibri" w:cs="Calibri" w:eastAsia="Calibri" w:hAnsi="Calibri"/>
          <w:b/>
          <w:bCs/>
          <w:sz w:val="22"/>
          <w:szCs w:val="22"/>
        </w:rPr>
        <w:t xml:space="preserve">Verschillende maateenheden.</w:t>
      </w:r>
      <w:r>
        <w:rPr>
          <w:rFonts w:ascii="Calibri" w:cs="Calibri" w:eastAsia="Calibri" w:hAnsi="Calibri"/>
          <w:sz w:val="22"/>
          <w:szCs w:val="22"/>
        </w:rPr>
        <w:t xml:space="preserve"> Niet elk project drukt voortgang in dezelfde eenheden uit (bijvoorbeeld: story points versus opgeleverde productonderdelen).</w:t>
      </w:r>
    </w:p>
    <w:p>
      <w:pPr>
        <w:spacing w:after="140" w:line="300"/>
      </w:pPr>
      <w:r>
        <w:rPr>
          <w:rFonts w:ascii="Calibri" w:cs="Calibri" w:eastAsia="Calibri" w:hAnsi="Calibri"/>
          <w:sz w:val="22"/>
          <w:szCs w:val="22"/>
        </w:rPr>
        <w:t xml:space="preserve">Toch loont geaggregeerde EVM de moeite: zelfs een grove, bewust benaderde SPI/CPI over het hele programma geeft de Programme Board een objectiever signaal dan vijf afzonderlijke, kwalitatieve voortgangsverhalen naast elkaar. De sleutel is transparantie over de aannames achter de aggregatie, niet perfecte precisie.</w:t>
      </w:r>
    </w:p>
    <w:p>
      <w:pPr>
        <w:pStyle w:val="Heading2"/>
        <w:spacing w:after="120" w:before="200"/>
      </w:pPr>
      <w:r>
        <w:rPr>
          <w:rFonts w:ascii="Georgia" w:cs="Georgia" w:eastAsia="Georgia" w:hAnsi="Georgia"/>
          <w:b/>
          <w:bCs/>
          <w:color w:val="2563A8"/>
          <w:sz w:val="28"/>
          <w:szCs w:val="28"/>
        </w:rPr>
        <w:t xml:space="preserve">6. Sequencing en de koppeling met tranches</w:t>
      </w:r>
    </w:p>
    <w:p>
      <w:pPr>
        <w:spacing w:after="140" w:line="300"/>
      </w:pPr>
      <w:r>
        <w:rPr>
          <w:rFonts w:ascii="Calibri" w:cs="Calibri" w:eastAsia="Calibri" w:hAnsi="Calibri"/>
          <w:sz w:val="22"/>
          <w:szCs w:val="22"/>
        </w:rPr>
        <w:t xml:space="preserve">De afhankelijkheden en resourcebeperkingen uit dit deel zijn precies de onderbouwing achter de tranche-indeling uit deel 15: een tranche-indeling die technische afhankelijkheden negeert, of die meerdere resource-intensieve projecten gelijktijdig plant zonder de capaciteit daarvoor, is in de praktijk onuitvoerbaar, ongeacht hoe goed die er op papier uitziet.</w:t>
      </w:r>
    </w:p>
    <w:p>
      <w:pPr>
        <w:pStyle w:val="Heading2"/>
        <w:spacing w:after="120" w:before="200"/>
      </w:pPr>
      <w:r>
        <w:rPr>
          <w:rFonts w:ascii="Georgia" w:cs="Georgia" w:eastAsia="Georgia" w:hAnsi="Georgia"/>
          <w:b/>
          <w:bCs/>
          <w:color w:val="2563A8"/>
          <w:sz w:val="28"/>
          <w:szCs w:val="28"/>
        </w:rPr>
        <w:t xml:space="preserve">7. Governance cadans</w:t>
      </w:r>
    </w:p>
    <w:p>
      <w:pPr>
        <w:spacing w:after="140" w:line="300"/>
      </w:pPr>
      <w:r>
        <w:rPr>
          <w:rFonts w:ascii="Calibri" w:cs="Calibri" w:eastAsia="Calibri" w:hAnsi="Calibri"/>
          <w:sz w:val="22"/>
          <w:szCs w:val="22"/>
        </w:rPr>
        <w:t xml:space="preserve">Hoe vaak dit alles wordt bewaakt, wordt vastgelegd in de governancecadans: bijvoorbeeld een maandelijkse Programme Board-vergadering voor de hoofdlijnen, aangevuld met frequentere (bijvoorbeeld tweewekelijkse) risico- en afhankelijkheidsreviews op programmamanagement- en Programme Office-niveau. Dit is de programmatische tegenhanger van de tijdgedreven controls uit niveau 1 (deel 6, §3) — dezelfde logica van vaste, voorspelbare rapportagemomenten, nu toegepast op programmaschaal.</w:t>
      </w:r>
    </w:p>
    <w:p>
      <w:pPr>
        <w:pStyle w:val="Heading2"/>
        <w:spacing w:after="120" w:before="200"/>
      </w:pPr>
      <w:r>
        <w:rPr>
          <w:rFonts w:ascii="Georgia" w:cs="Georgia" w:eastAsia="Georgia" w:hAnsi="Georgia"/>
          <w:b/>
          <w:bCs/>
          <w:color w:val="2563A8"/>
          <w:sz w:val="28"/>
          <w:szCs w:val="28"/>
        </w:rPr>
        <w:t xml:space="preserve">8. Toegepast op het Programma Mutatieplatform</w:t>
      </w:r>
    </w:p>
    <w:p>
      <w:pPr>
        <w:spacing w:after="140" w:line="300"/>
      </w:pPr>
      <w:r>
        <w:rPr>
          <w:rFonts w:ascii="Calibri" w:cs="Calibri" w:eastAsia="Calibri" w:hAnsi="Calibri"/>
          <w:sz w:val="22"/>
          <w:szCs w:val="22"/>
        </w:rPr>
        <w:t xml:space="preserve">Een sterk vereenvoudigd afhankelijkheidsoverzicht:</w:t>
      </w:r>
    </w:p>
    <w:p>
      <w:pPr>
        <w:pStyle w:val="ListParagraph"/>
        <w:numPr>
          <w:ilvl w:val="0"/>
          <w:numId w:val="1"/>
        </w:numPr>
        <w:spacing w:after="100" w:line="280"/>
      </w:pPr>
      <w:r>
        <w:rPr>
          <w:rFonts w:ascii="Calibri" w:cs="Calibri" w:eastAsia="Calibri" w:hAnsi="Calibri"/>
          <w:b/>
          <w:bCs/>
          <w:sz w:val="22"/>
          <w:szCs w:val="22"/>
        </w:rPr>
        <w:t xml:space="preserve">Kernsysteemkoppeling → WGP 2.0 en interne mutatieautomatisering</w:t>
      </w:r>
      <w:r>
        <w:rPr>
          <w:rFonts w:ascii="Calibri" w:cs="Calibri" w:eastAsia="Calibri" w:hAnsi="Calibri"/>
          <w:sz w:val="22"/>
          <w:szCs w:val="22"/>
        </w:rPr>
        <w:t xml:space="preserve"> (technische afhankelijkheid).</w:t>
      </w:r>
    </w:p>
    <w:p>
      <w:pPr>
        <w:pStyle w:val="ListParagraph"/>
        <w:numPr>
          <w:ilvl w:val="0"/>
          <w:numId w:val="1"/>
        </w:numPr>
        <w:spacing w:after="100" w:line="280"/>
      </w:pPr>
      <w:r>
        <w:rPr>
          <w:rFonts w:ascii="Calibri" w:cs="Calibri" w:eastAsia="Calibri" w:hAnsi="Calibri"/>
          <w:b/>
          <w:bCs/>
          <w:sz w:val="22"/>
          <w:szCs w:val="22"/>
        </w:rPr>
        <w:t xml:space="preserve">Validatieregels → WGP 2.0</w:t>
      </w:r>
      <w:r>
        <w:rPr>
          <w:rFonts w:ascii="Calibri" w:cs="Calibri" w:eastAsia="Calibri" w:hAnsi="Calibri"/>
          <w:sz w:val="22"/>
          <w:szCs w:val="22"/>
        </w:rPr>
        <w:t xml:space="preserve"> (technische afhankelijkheid, kleiner in omvang).</w:t>
      </w:r>
    </w:p>
    <w:p>
      <w:pPr>
        <w:pStyle w:val="ListParagraph"/>
        <w:numPr>
          <w:ilvl w:val="0"/>
          <w:numId w:val="1"/>
        </w:numPr>
        <w:spacing w:after="100" w:line="280"/>
      </w:pPr>
      <w:r>
        <w:rPr>
          <w:rFonts w:ascii="Calibri" w:cs="Calibri" w:eastAsia="Calibri" w:hAnsi="Calibri"/>
          <w:b/>
          <w:bCs/>
          <w:sz w:val="22"/>
          <w:szCs w:val="22"/>
        </w:rPr>
        <w:t xml:space="preserve">WGP 2.0 en interne automatisering delen dezelfde testcapaciteit</w:t>
      </w:r>
      <w:r>
        <w:rPr>
          <w:rFonts w:ascii="Calibri" w:cs="Calibri" w:eastAsia="Calibri" w:hAnsi="Calibri"/>
          <w:sz w:val="22"/>
          <w:szCs w:val="22"/>
        </w:rPr>
        <w:t xml:space="preserve"> in de laatste weken vóór hun respectievelijke opleverdatum (capaciteitsafhankelijkheid) — een bekend spanningspunt dat het Programme Office vroegtijdig signaleert en, indien nodig, escaleert naar de Programme Board voor prioritering.</w:t>
      </w:r>
    </w:p>
    <w:p>
      <w:pPr>
        <w:pStyle w:val="ListParagraph"/>
        <w:numPr>
          <w:ilvl w:val="0"/>
          <w:numId w:val="1"/>
        </w:numPr>
        <w:spacing w:after="100" w:line="280"/>
      </w:pPr>
      <w:r>
        <w:rPr>
          <w:rFonts w:ascii="Calibri" w:cs="Calibri" w:eastAsia="Calibri" w:hAnsi="Calibri"/>
          <w:b/>
          <w:bCs/>
          <w:sz w:val="22"/>
          <w:szCs w:val="22"/>
        </w:rPr>
        <w:t xml:space="preserve">Trainingsprogramma → wacht op</w:t>
      </w:r>
      <w:r>
        <w:rPr>
          <w:rFonts w:ascii="Calibri" w:cs="Calibri" w:eastAsia="Calibri" w:hAnsi="Calibri"/>
          <w:sz w:val="22"/>
          <w:szCs w:val="22"/>
        </w:rPr>
        <w:t xml:space="preserve"> een grotendeels stabiele werkwijze uit de andere vier projecten (volgtijdelijke afhankelijkheid), in lijn met de bewust late positionering in tranche 3 (deel 15, §6).</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Deel 18 behandelt risico's en issues die project- en programmagrenzen overstijgen — met een bewuste, examengerichte diepgang en een verwijzing naar verdere verdieping in een aparte cursus Risicomanagement.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2026-08-17T07:46:48.575Z</dcterms:created>
  <dcterms:modified xsi:type="dcterms:W3CDTF">2026-08-17T07:46:48.576Z</dcterms:modified>
</cp:coreProperties>
</file>

<file path=docProps/custom.xml><?xml version="1.0" encoding="utf-8"?>
<Properties xmlns="http://schemas.openxmlformats.org/officeDocument/2006/custom-properties" xmlns:vt="http://schemas.openxmlformats.org/officeDocument/2006/docPropsVTypes"/>
</file>