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17 — Planning en beheersing op programmaschaal</w:t>
      </w:r>
    </w:p>
    <w:p>
      <w:pPr>
        <w:spacing w:after="300"/>
      </w:pPr>
      <w:r>
        <w:rPr>
          <w:rFonts w:ascii="Calibri" w:cs="Calibri" w:eastAsia="Calibri" w:hAnsi="Calibri"/>
          <w:i/>
          <w:iCs/>
          <w:color w:val="2563A8"/>
          <w:sz w:val="22"/>
          <w:szCs w:val="22"/>
        </w:rPr>
        <w:t xml:space="preserve">Niveau 2 Professional · Project- en Programmamanagement</w:t>
      </w:r>
    </w:p>
    <w:p>
      <w:pPr>
        <w:pStyle w:val="Heading2"/>
        <w:spacing w:after="120" w:before="200"/>
      </w:pPr>
      <w:r>
        <w:rPr>
          <w:rFonts w:ascii="Georgia" w:cs="Georgia" w:eastAsia="Georgia" w:hAnsi="Georgia"/>
          <w:b/>
          <w:bCs/>
          <w:color w:val="2563A8"/>
          <w:sz w:val="28"/>
          <w:szCs w:val="28"/>
        </w:rPr>
        <w:t xml:space="preserve">Opdracht 17.1 — Type afhankelijkheid herkennen (individueel, 10 min)</w:t>
      </w:r>
    </w:p>
    <w:p>
      <w:pPr>
        <w:spacing w:after="140" w:line="300"/>
      </w:pPr>
      <w:r>
        <w:rPr>
          <w:rFonts w:ascii="Calibri" w:cs="Calibri" w:eastAsia="Calibri" w:hAnsi="Calibri"/>
          <w:sz w:val="22"/>
          <w:szCs w:val="22"/>
        </w:rPr>
        <w:t xml:space="preserve">Classificeer elk van de volgende situaties als technische, capaciteits-, of volgtijdelijke afhankelijkheid (reader §2):</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Twee projecten hebben in dezelfde maand dezelfde externe testleverancier nodig.</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Het trainingsprogramma kan pas vorm krijgen zodra de nieuwe werkwijze grotendeels vaststaat.</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De interne mutatieautomatisering kan pas live zodra de kernsysteemkoppeling werkt.</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Twee projectmanagers hebben allebei dezelfde ervaren business analist nodig voor een cruciale ontwerpsessie.</w:t>
      </w:r>
    </w:p>
    <w:p>
      <w:pPr>
        <w:pStyle w:val="Heading2"/>
        <w:spacing w:after="120" w:before="200"/>
      </w:pPr>
      <w:r>
        <w:rPr>
          <w:rFonts w:ascii="Georgia" w:cs="Georgia" w:eastAsia="Georgia" w:hAnsi="Georgia"/>
          <w:b/>
          <w:bCs/>
          <w:color w:val="2563A8"/>
          <w:sz w:val="28"/>
          <w:szCs w:val="28"/>
        </w:rPr>
        <w:t xml:space="preserve">Opdracht 17.2 — Het afhankelijkheidsnetwerk tekenen (tweetallen, 20 min)</w:t>
      </w:r>
    </w:p>
    <w:p>
      <w:pPr>
        <w:spacing w:after="140" w:line="300"/>
      </w:pPr>
      <w:r>
        <w:rPr>
          <w:rFonts w:ascii="Calibri" w:cs="Calibri" w:eastAsia="Calibri" w:hAnsi="Calibri"/>
          <w:sz w:val="22"/>
          <w:szCs w:val="22"/>
        </w:rPr>
        <w:t xml:space="preserve">Teken, op basis van reader §8 en je eigen aanvullingen, een eenvoudig afhankelijkheidsnetwerk voor het Programma Mutatieplatform met alle vijf projecten uit deel 11 (§8). Geef voor elke pijl aan welk type afhankelijkheid het betreft.</w:t>
      </w:r>
    </w:p>
    <w:p>
      <w:pPr>
        <w:pStyle w:val="Heading2"/>
        <w:spacing w:after="120" w:before="200"/>
      </w:pPr>
      <w:r>
        <w:rPr>
          <w:rFonts w:ascii="Georgia" w:cs="Georgia" w:eastAsia="Georgia" w:hAnsi="Georgia"/>
          <w:b/>
          <w:bCs/>
          <w:color w:val="2563A8"/>
          <w:sz w:val="28"/>
          <w:szCs w:val="28"/>
        </w:rPr>
        <w:t xml:space="preserve">Opdracht 17.3 — Geaggregeerde EVM interpreteren (klassikaal, 15 min)</w:t>
      </w:r>
    </w:p>
    <w:p>
      <w:pPr>
        <w:spacing w:after="140" w:line="300"/>
      </w:pPr>
      <w:r>
        <w:rPr>
          <w:rFonts w:ascii="Calibri" w:cs="Calibri" w:eastAsia="Calibri" w:hAnsi="Calibri"/>
          <w:sz w:val="22"/>
          <w:szCs w:val="22"/>
        </w:rPr>
        <w:t xml:space="preserve">Het Programma Mutatieplatform rapporteert de volgende, grof geaggregeerde cijfers na afloop van tranche 1: SPI = 0,95, CPI = 1,05. Eén van de twee projecten in tranche 1 werkt agile, het andere traditioneel.</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Wat zeggen deze cijfers, oppervlakkig gelezen, over het programma?</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Welke vraag zou de Programme Board moeten stellen vóórdat ze deze cijfers als representatief accepteren, gegeven reader §5?</w:t>
      </w:r>
    </w:p>
    <w:p>
      <w:pPr>
        <w:pStyle w:val="Heading2"/>
        <w:spacing w:after="120" w:before="200"/>
      </w:pPr>
      <w:r>
        <w:rPr>
          <w:rFonts w:ascii="Georgia" w:cs="Georgia" w:eastAsia="Georgia" w:hAnsi="Georgia"/>
          <w:b/>
          <w:bCs/>
          <w:color w:val="2563A8"/>
          <w:sz w:val="28"/>
          <w:szCs w:val="28"/>
        </w:rPr>
        <w:t xml:space="preserve">Opdracht 17.4 — Resourceconflict oplossen (klassikaal, 15 min)</w:t>
      </w:r>
    </w:p>
    <w:p>
      <w:pPr>
        <w:spacing w:after="140" w:line="300"/>
      </w:pPr>
      <w:r>
        <w:rPr>
          <w:rFonts w:ascii="Calibri" w:cs="Calibri" w:eastAsia="Calibri" w:hAnsi="Calibri"/>
          <w:sz w:val="22"/>
          <w:szCs w:val="22"/>
        </w:rPr>
        <w:t xml:space="preserve">Het Programme Office signaleert dat zowel WGP 2.0 als de interne mutatieautomatisering in dezelfde twee weken dezelfde testcapaciteit nodig hebben, en dat er onvoldoende capaciteit is om beide volledig te bedienen. Bedenk, in de groep, twee mogelijke oplossingsrichtingen en beargumenteer welke van de twee eerder bij de Programme Board thuishoort en welke lager, dichter bij de projecten zelf, kan worden opgelost.</w:t>
      </w:r>
    </w:p>
    <w:p>
      <w:pPr>
        <w:pStyle w:val="Heading2"/>
        <w:spacing w:after="120" w:before="200"/>
      </w:pPr>
      <w:r>
        <w:rPr>
          <w:rFonts w:ascii="Georgia" w:cs="Georgia" w:eastAsia="Georgia" w:hAnsi="Georgia"/>
          <w:b/>
          <w:bCs/>
          <w:color w:val="2563A8"/>
          <w:sz w:val="28"/>
          <w:szCs w:val="28"/>
        </w:rPr>
        <w:t xml:space="preserve">Reflectievraag (afsluitend)</w:t>
      </w:r>
    </w:p>
    <w:p>
      <w:pPr>
        <w:spacing w:after="140" w:line="300"/>
      </w:pPr>
      <w:r>
        <w:rPr>
          <w:rFonts w:ascii="Calibri" w:cs="Calibri" w:eastAsia="Calibri" w:hAnsi="Calibri"/>
          <w:sz w:val="22"/>
          <w:szCs w:val="22"/>
        </w:rPr>
        <w:t xml:space="preserve">Reader §5 stelt dat perfecte precisie in geaggregeerde EVM minder belangrijk is dan transparantie over de aannames erachter. Wat zou er kunnen misgaan als een Programme Board een geaggregeerd SPI/CPI-cijfer zonder die transparantie te goeder trouw als exacte waarheid behandelt?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2 Professional · Deel 17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2026-08-17T07:46:48.638Z</dcterms:created>
  <dcterms:modified xsi:type="dcterms:W3CDTF">2026-08-17T07:46:48.638Z</dcterms:modified>
</cp:coreProperties>
</file>

<file path=docProps/custom.xml><?xml version="1.0" encoding="utf-8"?>
<Properties xmlns="http://schemas.openxmlformats.org/officeDocument/2006/custom-properties" xmlns:vt="http://schemas.openxmlformats.org/officeDocument/2006/docPropsVTypes"/>
</file>