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18 — Risico's en issues over project- en programmagrenzen</w:t>
      </w:r>
    </w:p>
    <w:p>
      <w:pPr>
        <w:spacing w:after="300"/>
      </w:pPr>
      <w:r>
        <w:rPr>
          <w:rFonts w:ascii="Calibri" w:cs="Calibri" w:eastAsia="Calibri" w:hAnsi="Calibri"/>
          <w:i/>
          <w:iCs/>
          <w:color w:val="2563A8"/>
          <w:sz w:val="22"/>
          <w:szCs w:val="22"/>
        </w:rPr>
        <w:t xml:space="preserve">Niveau 2 Professional · Project- en Programmamanagement</w:t>
      </w:r>
    </w:p>
    <w:p>
      <w:pPr>
        <w:spacing w:after="140" w:line="300"/>
      </w:pPr>
      <w:r>
        <w:rPr>
          <w:rFonts w:ascii="Calibri" w:cs="Calibri" w:eastAsia="Calibri" w:hAnsi="Calibri"/>
          <w:b/>
          <w:bCs/>
          <w:sz w:val="22"/>
          <w:szCs w:val="22"/>
        </w:rPr>
        <w:t xml:space="preserve">Dagdeel:</w:t>
      </w:r>
      <w:r>
        <w:rPr>
          <w:rFonts w:ascii="Calibri" w:cs="Calibri" w:eastAsia="Calibri" w:hAnsi="Calibri"/>
          <w:sz w:val="22"/>
          <w:szCs w:val="22"/>
        </w:rPr>
        <w:t xml:space="preserve"> 18 (deel 8 van niveau 2) · </w:t>
      </w:r>
      <w:r>
        <w:rPr>
          <w:rFonts w:ascii="Calibri" w:cs="Calibri" w:eastAsia="Calibri" w:hAnsi="Calibri"/>
          <w:b/>
          <w:bCs/>
          <w:sz w:val="22"/>
          <w:szCs w:val="22"/>
        </w:rPr>
        <w:t xml:space="preserve">Duur:</w:t>
      </w:r>
      <w:r>
        <w:rPr>
          <w:rFonts w:ascii="Calibri" w:cs="Calibri" w:eastAsia="Calibri" w:hAnsi="Calibri"/>
          <w:sz w:val="22"/>
          <w:szCs w:val="22"/>
        </w:rPr>
        <w:t xml:space="preserve"> circa 3 uur, inclusief pauze</w:t>
      </w:r>
    </w:p>
    <w:p>
      <w:pPr>
        <w:spacing w:after="140" w:line="300"/>
      </w:pPr>
      <w:r>
        <w:rPr>
          <w:rFonts w:ascii="Calibri" w:cs="Calibri" w:eastAsia="Calibri" w:hAnsi="Calibri"/>
          <w:b/>
          <w:bCs/>
          <w:sz w:val="22"/>
          <w:szCs w:val="22"/>
        </w:rPr>
        <w:t xml:space="preserve">Doel van dit deel:</w:t>
      </w:r>
      <w:r>
        <w:rPr>
          <w:rFonts w:ascii="Calibri" w:cs="Calibri" w:eastAsia="Calibri" w:hAnsi="Calibri"/>
          <w:sz w:val="22"/>
          <w:szCs w:val="22"/>
        </w:rPr>
        <w:t xml:space="preserve"> het onderscheid tussen project- en programmarisico scherp krijgen, en de escalatielogica uit deel 14 herbevestigen op het domein van risico's en issues — bewust op examenniveau, met een expliciete, niet-verontschuldigende grens richting verdere risicomanagementverdieping.</w:t>
      </w:r>
    </w:p>
    <w:p>
      <w:pPr>
        <w:pStyle w:val="Heading2"/>
        <w:spacing w:after="120" w:before="200"/>
      </w:pPr>
      <w:r>
        <w:rPr>
          <w:rFonts w:ascii="Georgia" w:cs="Georgia" w:eastAsia="Georgia" w:hAnsi="Georgia"/>
          <w:b/>
          <w:bCs/>
          <w:color w:val="2563A8"/>
          <w:sz w:val="28"/>
          <w:szCs w:val="28"/>
        </w:rPr>
        <w:t xml:space="preserve">Opbouw en timing</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Terugblik deel 17, introductie: wat overstijgt projectniveau (reader §1)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Geaggregeerd risico (reader §2)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0:35–0:45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18.1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 bespreking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0:45–1:05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Cross-project issues en escalatie (reader §3)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1:05–1:15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1:15–1:30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18.2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Tweetallen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1:30–1:55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Assurance: drie verdedigingslinies (reader §4)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1:55–2:10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18.3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Klassikaal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2:10–2:20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Decisions en risicobereidheid (reader §5–6)</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2:20–2:28</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18.4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Klassikaal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2:28–2:30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grens van dit deel + vooruitblik</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Afsluiting</w:t>
            </w:r>
          </w:p>
        </w:tc>
      </w:tr>
    </w:tbl>
    <w:p>
      <w:pPr>
        <w:pStyle w:val="Heading2"/>
        <w:spacing w:after="120" w:before="200"/>
      </w:pPr>
      <w:r>
        <w:rPr>
          <w:rFonts w:ascii="Georgia" w:cs="Georgia" w:eastAsia="Georgia" w:hAnsi="Georgia"/>
          <w:b/>
          <w:bCs/>
          <w:color w:val="2563A8"/>
          <w:sz w:val="28"/>
          <w:szCs w:val="28"/>
        </w:rPr>
        <w:t xml:space="preserve">Didactische aanwijzingen</w:t>
      </w:r>
    </w:p>
    <w:p>
      <w:pPr>
        <w:pStyle w:val="ListParagraph"/>
        <w:numPr>
          <w:ilvl w:val="0"/>
          <w:numId w:val="1"/>
        </w:numPr>
        <w:spacing w:after="100" w:line="280"/>
      </w:pPr>
      <w:r>
        <w:rPr>
          <w:rFonts w:ascii="Calibri" w:cs="Calibri" w:eastAsia="Calibri" w:hAnsi="Calibri"/>
          <w:b/>
          <w:bCs/>
          <w:sz w:val="22"/>
          <w:szCs w:val="22"/>
        </w:rPr>
        <w:t xml:space="preserve">Wees vanaf het begin expliciet over de bewuste afbakening van dit deel (reader §1 en §7).</w:t>
      </w:r>
      <w:r>
        <w:rPr>
          <w:rFonts w:ascii="Calibri" w:cs="Calibri" w:eastAsia="Calibri" w:hAnsi="Calibri"/>
          <w:sz w:val="22"/>
          <w:szCs w:val="22"/>
        </w:rPr>
        <w:t xml:space="preserve"> Dit voorkomt dat deelnemers het gevoel krijgen dat er iets ontbreekt — leg uit dat dit een weloverwogen keuze is, niet een gat in de cursus, en verwijs actief naar de toekomstige verdiepende cursus.</w:t>
      </w:r>
    </w:p>
    <w:p>
      <w:pPr>
        <w:pStyle w:val="ListParagraph"/>
        <w:numPr>
          <w:ilvl w:val="0"/>
          <w:numId w:val="1"/>
        </w:numPr>
        <w:spacing w:after="100" w:line="280"/>
      </w:pPr>
      <w:r>
        <w:rPr>
          <w:rFonts w:ascii="Calibri" w:cs="Calibri" w:eastAsia="Calibri" w:hAnsi="Calibri"/>
          <w:b/>
          <w:bCs/>
          <w:sz w:val="22"/>
          <w:szCs w:val="22"/>
        </w:rPr>
        <w:t xml:space="preserve">Bij opdracht 18.1 is (b) het meest onderscheidende voorbeeld — leg de nadruk op het verschil tussen een risico met naam en toenaam per project en een geaggregeerd, programmabreed patroon.</w:t>
      </w:r>
      <w:r>
        <w:rPr>
          <w:rFonts w:ascii="Calibri" w:cs="Calibri" w:eastAsia="Calibri" w:hAnsi="Calibri"/>
          <w:sz w:val="22"/>
          <w:szCs w:val="22"/>
        </w:rPr>
        <w:t xml:space="preserve"> Dit is precies het soort risico dat individuele projectmanagers, elk gefocust op hun eigen risicoregister, gemakkelijk over het hoofd zien.</w:t>
      </w:r>
    </w:p>
    <w:p>
      <w:pPr>
        <w:pStyle w:val="ListParagraph"/>
        <w:numPr>
          <w:ilvl w:val="0"/>
          <w:numId w:val="1"/>
        </w:numPr>
        <w:spacing w:after="100" w:line="280"/>
      </w:pPr>
      <w:r>
        <w:rPr>
          <w:rFonts w:ascii="Calibri" w:cs="Calibri" w:eastAsia="Calibri" w:hAnsi="Calibri"/>
          <w:b/>
          <w:bCs/>
          <w:sz w:val="22"/>
          <w:szCs w:val="22"/>
        </w:rPr>
        <w:t xml:space="preserve">Bij het model van de drie verdedigingslinies (opdracht 18.3) is de meest voorkomende denkfout dat "assurance" wordt gezien als één taak in plaats van drie, elk met een andere mate van onafhankelijkheid.</w:t>
      </w:r>
      <w:r>
        <w:rPr>
          <w:rFonts w:ascii="Calibri" w:cs="Calibri" w:eastAsia="Calibri" w:hAnsi="Calibri"/>
          <w:sz w:val="22"/>
          <w:szCs w:val="22"/>
        </w:rPr>
        <w:t xml:space="preserve"> Laat expliciet benoemen waarom de tweede lijn (Programme Office) niet hetzelfde is als de derde lijn (audit): de tweede lijn is nog steeds onderdeel van het management, de derde lijn niet.</w:t>
      </w:r>
    </w:p>
    <w:p>
      <w:pPr>
        <w:pStyle w:val="ListParagraph"/>
        <w:numPr>
          <w:ilvl w:val="0"/>
          <w:numId w:val="1"/>
        </w:numPr>
        <w:spacing w:after="100" w:line="280"/>
      </w:pPr>
      <w:r>
        <w:rPr>
          <w:rFonts w:ascii="Calibri" w:cs="Calibri" w:eastAsia="Calibri" w:hAnsi="Calibri"/>
          <w:b/>
          <w:bCs/>
          <w:sz w:val="22"/>
          <w:szCs w:val="22"/>
        </w:rPr>
        <w:t xml:space="preserve">Opdracht 18.4 is bewust een open, oordeelsvormende discussie zonder één "juist" antwoord.</w:t>
      </w:r>
      <w:r>
        <w:rPr>
          <w:rFonts w:ascii="Calibri" w:cs="Calibri" w:eastAsia="Calibri" w:hAnsi="Calibri"/>
          <w:sz w:val="22"/>
          <w:szCs w:val="22"/>
        </w:rPr>
        <w:t xml:space="preserve"> Stuur de discussie richting concrete voorwaarden (bijvoorbeeld: extra buffer op een andere tolerantie, expliciete acceptatie van het risico door de sponsoring group in plaats van stilzwijgende druk) in plaats van een simpel ja/nee.</w:t>
      </w:r>
    </w:p>
    <w:p>
      <w:pPr>
        <w:pStyle w:val="Heading2"/>
        <w:spacing w:after="120" w:before="200"/>
      </w:pPr>
      <w:r>
        <w:rPr>
          <w:rFonts w:ascii="Georgia" w:cs="Georgia" w:eastAsia="Georgia" w:hAnsi="Georgia"/>
          <w:b/>
          <w:bCs/>
          <w:color w:val="2563A8"/>
          <w:sz w:val="28"/>
          <w:szCs w:val="28"/>
        </w:rPr>
        <w:t xml:space="preserve">Modelantwoorden — Opdracht 18.1</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Projectrisico.</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Geaggregeerd programmarisico.</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Projectrisico (al kan het, afhankelijk van de rol van de ontwikkelaar, ook capaciteitsimplicaties hebben die het Programme Office wil volgen — zie deel 17).</w:t>
      </w:r>
    </w:p>
    <w:p>
      <w:pPr>
        <w:spacing w:after="120" w:line="280"/>
        <w:ind w:left="360" w:hanging="360"/>
      </w:pPr>
      <w:r>
        <w:rPr>
          <w:rFonts w:ascii="Calibri" w:cs="Calibri" w:eastAsia="Calibri" w:hAnsi="Calibri"/>
          <w:b/>
          <w:bCs/>
          <w:color w:val="2563A8"/>
          <w:sz w:val="22"/>
          <w:szCs w:val="22"/>
        </w:rPr>
        <w:t xml:space="preserve">d. </w:t>
      </w:r>
      <w:r>
        <w:rPr>
          <w:rFonts w:ascii="Calibri" w:cs="Calibri" w:eastAsia="Calibri" w:hAnsi="Calibri"/>
          <w:sz w:val="22"/>
          <w:szCs w:val="22"/>
        </w:rPr>
        <w:t xml:space="preserve">Programmarisico (of allebei) — raakt potentieel meerdere projecten tegelijk en de programmatische business case (deel 13).</w:t>
      </w:r>
    </w:p>
    <w:p>
      <w:pPr>
        <w:pStyle w:val="Heading2"/>
        <w:spacing w:after="120" w:before="200"/>
      </w:pPr>
      <w:r>
        <w:rPr>
          <w:rFonts w:ascii="Georgia" w:cs="Georgia" w:eastAsia="Georgia" w:hAnsi="Georgia"/>
          <w:b/>
          <w:bCs/>
          <w:color w:val="2563A8"/>
          <w:sz w:val="28"/>
          <w:szCs w:val="28"/>
        </w:rPr>
        <w:t xml:space="preserve">Modelantwoorden — Opdracht 18.2</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Blijft binnen het project — geen impact buiten de eigen grenzen.</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Escaleren naar de Programme Board — directe impact op een ander project en mogelijk de programmatische business case.</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Blijft binnen het project — een lokale planningsaanpassing zonder programmabrede impact.</w:t>
      </w:r>
    </w:p>
    <w:p>
      <w:pPr>
        <w:pStyle w:val="Heading2"/>
        <w:spacing w:after="120" w:before="200"/>
      </w:pPr>
      <w:r>
        <w:rPr>
          <w:rFonts w:ascii="Georgia" w:cs="Georgia" w:eastAsia="Georgia" w:hAnsi="Georgia"/>
          <w:b/>
          <w:bCs/>
          <w:color w:val="2563A8"/>
          <w:sz w:val="28"/>
          <w:szCs w:val="28"/>
        </w:rPr>
        <w:t xml:space="preserve">Modelantwoorden — Opdracht 18.3</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Eerste lijn.</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Tweede lijn.</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Derde lijn.</w:t>
      </w:r>
    </w:p>
    <w:p>
      <w:pPr>
        <w:pStyle w:val="Heading2"/>
        <w:spacing w:after="120" w:before="200"/>
      </w:pPr>
      <w:r>
        <w:rPr>
          <w:rFonts w:ascii="Georgia" w:cs="Georgia" w:eastAsia="Georgia" w:hAnsi="Georgia"/>
          <w:b/>
          <w:bCs/>
          <w:color w:val="2563A8"/>
          <w:sz w:val="28"/>
          <w:szCs w:val="28"/>
        </w:rPr>
        <w:t xml:space="preserve">Modelantwoord — Opdracht 18.4</w:t>
      </w:r>
    </w:p>
    <w:p>
      <w:pPr>
        <w:spacing w:after="140" w:line="300"/>
      </w:pPr>
      <w:r>
        <w:rPr>
          <w:rFonts w:ascii="Calibri" w:cs="Calibri" w:eastAsia="Calibri" w:hAnsi="Calibri"/>
          <w:sz w:val="22"/>
          <w:szCs w:val="22"/>
        </w:rPr>
        <w:t xml:space="preserve">Een legitieme afweging is mogelijk, mits: (1) het risico expliciet en bewust wordt geaccepteerd door de sponsoring group, niet stilzwijgend afgewenteld op het projectteam; (2) er compenserende maatregelen zijn (bijvoorbeeld extra buffer op kwaliteit of scope, in lijn met de hexagon uit deel 16 als het project agile werkt); (3) de projectmanager de gelegenheid krijgt de risico's expliciet te benoemen vóórdat het besluit definitief wordt — vergelijkbaar met hoe een Exception Report (niveau 1, deel 6) een projectmanager de kans geeft de situatie helder te maken vóórdat de stuurgroep beslist.</w:t>
      </w:r>
    </w:p>
    <w:p>
      <w:pPr>
        <w:pStyle w:val="Heading2"/>
        <w:spacing w:after="120" w:before="200"/>
      </w:pPr>
      <w:r>
        <w:rPr>
          <w:rFonts w:ascii="Georgia" w:cs="Georgia" w:eastAsia="Georgia" w:hAnsi="Georgia"/>
          <w:b/>
          <w:bCs/>
          <w:color w:val="2563A8"/>
          <w:sz w:val="28"/>
          <w:szCs w:val="28"/>
        </w:rPr>
        <w:t xml:space="preserve">Modelantwoord — Reflectievraag</w:t>
      </w:r>
    </w:p>
    <w:p>
      <w:pPr>
        <w:spacing w:after="140" w:line="300"/>
      </w:pPr>
      <w:r>
        <w:rPr>
          <w:rFonts w:ascii="Calibri" w:cs="Calibri" w:eastAsia="Calibri" w:hAnsi="Calibri"/>
          <w:sz w:val="22"/>
          <w:szCs w:val="22"/>
        </w:rPr>
        <w:t xml:space="preserve">Kwantitatieve risicomodellering (Monte Carlo-simulaties, uitgebreide risicomatrices, sectorspecifieke technieken) is een vakgebied op zich, met eigen technieken, software en denkkaders die te uitgebreid zijn om terloops te behandelen zonder de rest van de cursus te verdringen. Het uitputtend behandelen ervan zou hetzij deze cursus onevenredig laten uitdijen, hetzij andere, voor het PRINCE2/MSP/IPMA-examen relevantere onderwerpen verdringen — vandaar de bewuste keuze voor een aparte, toekomstige cursus.</w:t>
      </w:r>
    </w:p>
    <w:p>
      <w:pPr>
        <w:pStyle w:val="Heading2"/>
        <w:spacing w:after="120" w:before="200"/>
      </w:pPr>
      <w:r>
        <w:rPr>
          <w:rFonts w:ascii="Georgia" w:cs="Georgia" w:eastAsia="Georgia" w:hAnsi="Georgia"/>
          <w:b/>
          <w:bCs/>
          <w:color w:val="2563A8"/>
          <w:sz w:val="28"/>
          <w:szCs w:val="28"/>
        </w:rPr>
        <w:t xml:space="preserve">Veelgestelde vragen</w:t>
      </w:r>
    </w:p>
    <w:p>
      <w:pPr>
        <w:pStyle w:val="ListParagraph"/>
        <w:numPr>
          <w:ilvl w:val="0"/>
          <w:numId w:val="1"/>
        </w:numPr>
        <w:spacing w:after="100" w:line="280"/>
      </w:pPr>
      <w:r>
        <w:rPr>
          <w:rFonts w:ascii="Calibri" w:cs="Calibri" w:eastAsia="Calibri" w:hAnsi="Calibri"/>
          <w:i/>
          <w:iCs/>
          <w:sz w:val="22"/>
          <w:szCs w:val="22"/>
        </w:rPr>
        <w:t xml:space="preserve">"Is de derde lijn (audit) altijd een aparte afdeling?"</w:t>
      </w:r>
      <w:r>
        <w:rPr>
          <w:rFonts w:ascii="Calibri" w:cs="Calibri" w:eastAsia="Calibri" w:hAnsi="Calibri"/>
          <w:sz w:val="22"/>
          <w:szCs w:val="22"/>
        </w:rPr>
        <w:t xml:space="preserve"> Niet noodzakelijk — bij een kleiner programma kan dit een extern ingehuurde, onafhankelijke partij zijn; de kern is onafhankelijkheid van het management, niet een specifieke organisatievorm.</w:t>
      </w:r>
    </w:p>
    <w:p>
      <w:pPr>
        <w:pStyle w:val="ListParagraph"/>
        <w:numPr>
          <w:ilvl w:val="0"/>
          <w:numId w:val="1"/>
        </w:numPr>
        <w:spacing w:after="100" w:line="280"/>
      </w:pPr>
      <w:r>
        <w:rPr>
          <w:rFonts w:ascii="Calibri" w:cs="Calibri" w:eastAsia="Calibri" w:hAnsi="Calibri"/>
          <w:i/>
          <w:iCs/>
          <w:sz w:val="22"/>
          <w:szCs w:val="22"/>
        </w:rPr>
        <w:t xml:space="preserve">"Wat als de sponsoring group en de Programme Board het oneens zijn over risicobereidheid?"</w:t>
      </w:r>
      <w:r>
        <w:rPr>
          <w:rFonts w:ascii="Calibri" w:cs="Calibri" w:eastAsia="Calibri" w:hAnsi="Calibri"/>
          <w:sz w:val="22"/>
          <w:szCs w:val="22"/>
        </w:rPr>
        <w:t xml:space="preserve"> De sponsoring group staat governancetechnisch boven de Programme Board (deel 14, §2) en heeft daarmee het laatste woord — maar een goed functionerend programma voorkomt dit conflict door risicobereidheid vroeg en expliciet vast te leggen in de risicomanagementaanpak (deel 13, §3), niet pas te bespreken wanneer het al urgent is.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2 Professional · Deel 18 · Docentenhandleiding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2026-08-17T07:42:38.463Z</dcterms:created>
  <dcterms:modified xsi:type="dcterms:W3CDTF">2026-08-17T07:42:38.463Z</dcterms:modified>
</cp:coreProperties>
</file>

<file path=docProps/custom.xml><?xml version="1.0" encoding="utf-8"?>
<Properties xmlns="http://schemas.openxmlformats.org/officeDocument/2006/custom-properties" xmlns:vt="http://schemas.openxmlformats.org/officeDocument/2006/docPropsVTypes"/>
</file>