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18 — Risico's en issues over project- en programmagrenzen</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Wat overstijgt projectniveau</w:t>
      </w:r>
    </w:p>
    <w:p>
      <w:pPr>
        <w:spacing w:after="140" w:line="300"/>
      </w:pPr>
      <w:r>
        <w:rPr>
          <w:rFonts w:ascii="Calibri" w:cs="Calibri" w:eastAsia="Calibri" w:hAnsi="Calibri"/>
          <w:sz w:val="22"/>
          <w:szCs w:val="22"/>
        </w:rPr>
        <w:t xml:space="preserve">Niveau 1 (deel 5 en 6) behandelde risico's en issues binnen één project, uitputtend genoeg om PRINCE2 Foundation te dekken. Dit deel voegt niet nog een volledige risicomanagementmethode toe, maar behandelt specifiek wat er </w:t>
      </w:r>
      <w:r>
        <w:rPr>
          <w:rFonts w:ascii="Calibri" w:cs="Calibri" w:eastAsia="Calibri" w:hAnsi="Calibri"/>
          <w:b/>
          <w:bCs/>
          <w:sz w:val="22"/>
          <w:szCs w:val="22"/>
        </w:rPr>
        <w:t xml:space="preserve">verandert wanneer risico's en issues zich over project- en programmagrenzen heen uitstrekken</w:t>
      </w:r>
      <w:r>
        <w:rPr>
          <w:rFonts w:ascii="Calibri" w:cs="Calibri" w:eastAsia="Calibri" w:hAnsi="Calibri"/>
          <w:sz w:val="22"/>
          <w:szCs w:val="22"/>
        </w:rPr>
        <w:t xml:space="preserve"> — bewust op het niveau dat MSP Foundation en Practitioner vereisen, niet dieper. Wie zich verder wil verdiepen in kwantitatieve risicoanalyse, risicomodellering of gespecialiseerde technieken, verwijzen we naar een aparte, toekomstige cursus Risicomanagement die zich uitsluitend op dat vakgebied richt.</w:t>
      </w:r>
    </w:p>
    <w:p>
      <w:pPr>
        <w:pStyle w:val="Heading2"/>
        <w:spacing w:after="120" w:before="200"/>
      </w:pPr>
      <w:r>
        <w:rPr>
          <w:rFonts w:ascii="Georgia" w:cs="Georgia" w:eastAsia="Georgia" w:hAnsi="Georgia"/>
          <w:b/>
          <w:bCs/>
          <w:color w:val="2563A8"/>
          <w:sz w:val="28"/>
          <w:szCs w:val="28"/>
        </w:rPr>
        <w:t xml:space="preserve">2. Geaggregeerd risico</w:t>
      </w:r>
    </w:p>
    <w:p>
      <w:pPr>
        <w:spacing w:after="140" w:line="300"/>
      </w:pPr>
      <w:r>
        <w:rPr>
          <w:rFonts w:ascii="Calibri" w:cs="Calibri" w:eastAsia="Calibri" w:hAnsi="Calibri"/>
          <w:sz w:val="22"/>
          <w:szCs w:val="22"/>
        </w:rPr>
        <w:t xml:space="preserve">Een risico dat op elk van de vijf projecten van het Programma Mutatieplatform afzonderlijk een kleine kans heeft, kan op programmaniveau een veel grotere impact hebben dan de som der delen doet vermoeden. Als elk project bijvoorbeeld een kans van 10% heeft om significant uit te lopen, is de kans dat </w:t>
      </w:r>
      <w:r>
        <w:rPr>
          <w:rFonts w:ascii="Calibri" w:cs="Calibri" w:eastAsia="Calibri" w:hAnsi="Calibri"/>
          <w:b/>
          <w:bCs/>
          <w:sz w:val="22"/>
          <w:szCs w:val="22"/>
        </w:rPr>
        <w:t xml:space="preserve">minstens één</w:t>
      </w:r>
      <w:r>
        <w:rPr>
          <w:rFonts w:ascii="Calibri" w:cs="Calibri" w:eastAsia="Calibri" w:hAnsi="Calibri"/>
          <w:sz w:val="22"/>
          <w:szCs w:val="22"/>
        </w:rPr>
        <w:t xml:space="preserve"> van de vijf projecten uitloopt aanzienlijk groter dan 10% — en omdat de projecten onderling afhankelijk zijn (deel 17), plant een vertraging in één project zich vaak voort naar de andere.</w:t>
      </w:r>
    </w:p>
    <w:p>
      <w:pPr>
        <w:spacing w:after="140" w:line="300"/>
      </w:pPr>
      <w:r>
        <w:rPr>
          <w:rFonts w:ascii="Calibri" w:cs="Calibri" w:eastAsia="Calibri" w:hAnsi="Calibri"/>
          <w:sz w:val="22"/>
          <w:szCs w:val="22"/>
        </w:rPr>
        <w:t xml:space="preserve">Dit </w:t>
      </w:r>
      <w:r>
        <w:rPr>
          <w:rFonts w:ascii="Calibri" w:cs="Calibri" w:eastAsia="Calibri" w:hAnsi="Calibri"/>
          <w:b/>
          <w:bCs/>
          <w:sz w:val="22"/>
          <w:szCs w:val="22"/>
        </w:rPr>
        <w:t xml:space="preserve">geaggregeerde risico</w:t>
      </w:r>
      <w:r>
        <w:rPr>
          <w:rFonts w:ascii="Calibri" w:cs="Calibri" w:eastAsia="Calibri" w:hAnsi="Calibri"/>
          <w:sz w:val="22"/>
          <w:szCs w:val="22"/>
        </w:rPr>
        <w:t xml:space="preserve"> wordt op programmaniveau expliciet bijgehouden, los van (maar gevoed door) de risicoregisters van de individuele projecten. De vraag is niet alleen "wat kan er in dit ene project misgaan," maar "wat is de gecombineerde blootstelling van het hele programma, gegeven hoe de projecten van elkaar afhankelijk zijn?"</w:t>
      </w:r>
    </w:p>
    <w:p>
      <w:pPr>
        <w:pStyle w:val="Heading2"/>
        <w:spacing w:after="120" w:before="200"/>
      </w:pPr>
      <w:r>
        <w:rPr>
          <w:rFonts w:ascii="Georgia" w:cs="Georgia" w:eastAsia="Georgia" w:hAnsi="Georgia"/>
          <w:b/>
          <w:bCs/>
          <w:color w:val="2563A8"/>
          <w:sz w:val="28"/>
          <w:szCs w:val="28"/>
        </w:rPr>
        <w:t xml:space="preserve">3. Cross-project issues en escalatie</w:t>
      </w:r>
    </w:p>
    <w:p>
      <w:pPr>
        <w:spacing w:after="140" w:line="300"/>
      </w:pPr>
      <w:r>
        <w:rPr>
          <w:rFonts w:ascii="Calibri" w:cs="Calibri" w:eastAsia="Calibri" w:hAnsi="Calibri"/>
          <w:sz w:val="22"/>
          <w:szCs w:val="22"/>
        </w:rPr>
        <w:t xml:space="preserve">Een issue (niveau 1, deel 5) die ontstaat in één project, kan gevolgen hebben die de grenzen van dat project overschrijden. Als de kernsysteemkoppeling een off-specification blijkt te hebben, raakt dat niet alleen dat ene project, maar ook WGP 2.0 en de interne mutatieautomatisering die ervan afhankelijk zijn (deel 17, §2). Zo'n issue kan niet door de projectmanager van de kernsysteemkoppeling alleen worden afgehandeld — het moet worden geëscaleerd naar de Programme Board (deel 14), die de impact over de volle breedte van het programma kan overzien en, waar nodig, tussen projecten kan prioriteren.</w:t>
      </w:r>
    </w:p>
    <w:p>
      <w:pPr>
        <w:spacing w:after="140" w:line="300"/>
      </w:pPr>
      <w:r>
        <w:rPr>
          <w:rFonts w:ascii="Calibri" w:cs="Calibri" w:eastAsia="Calibri" w:hAnsi="Calibri"/>
          <w:sz w:val="22"/>
          <w:szCs w:val="22"/>
        </w:rPr>
        <w:t xml:space="preserve">Dit is dezelfde escalatielogica als in niveau 1 (deel 5, §3: autoriteitsniveaus), nu met een extra laag: </w:t>
      </w:r>
      <w:r>
        <w:rPr>
          <w:rFonts w:ascii="Calibri" w:cs="Calibri" w:eastAsia="Calibri" w:hAnsi="Calibri"/>
          <w:b/>
          <w:bCs/>
          <w:sz w:val="22"/>
          <w:szCs w:val="22"/>
        </w:rPr>
        <w:t xml:space="preserve">projectmanager → Programme Board</w:t>
      </w:r>
      <w:r>
        <w:rPr>
          <w:rFonts w:ascii="Calibri" w:cs="Calibri" w:eastAsia="Calibri" w:hAnsi="Calibri"/>
          <w:sz w:val="22"/>
          <w:szCs w:val="22"/>
        </w:rPr>
        <w:t xml:space="preserve">, in plaats van alleen </w:t>
      </w:r>
      <w:r>
        <w:rPr>
          <w:rFonts w:ascii="Calibri" w:cs="Calibri" w:eastAsia="Calibri" w:hAnsi="Calibri"/>
          <w:b/>
          <w:bCs/>
          <w:sz w:val="22"/>
          <w:szCs w:val="22"/>
        </w:rPr>
        <w:t xml:space="preserve">projectmanager → eigen stuurgroep</w:t>
      </w:r>
      <w:r>
        <w:rPr>
          <w:rFonts w:ascii="Calibri" w:cs="Calibri" w:eastAsia="Calibri" w:hAnsi="Calibri"/>
          <w:sz w:val="22"/>
          <w:szCs w:val="22"/>
        </w:rPr>
        <w:t xml:space="preserve">.</w:t>
      </w:r>
    </w:p>
    <w:p>
      <w:pPr>
        <w:pStyle w:val="Heading2"/>
        <w:spacing w:after="120" w:before="200"/>
      </w:pPr>
      <w:r>
        <w:rPr>
          <w:rFonts w:ascii="Georgia" w:cs="Georgia" w:eastAsia="Georgia" w:hAnsi="Georgia"/>
          <w:b/>
          <w:bCs/>
          <w:color w:val="2563A8"/>
          <w:sz w:val="28"/>
          <w:szCs w:val="28"/>
        </w:rPr>
        <w:t xml:space="preserve">4. Assurance: de drie verdedigingslinies</w:t>
      </w:r>
    </w:p>
    <w:p>
      <w:pPr>
        <w:spacing w:after="140" w:line="300"/>
      </w:pPr>
      <w:r>
        <w:rPr>
          <w:rFonts w:ascii="Calibri" w:cs="Calibri" w:eastAsia="Calibri" w:hAnsi="Calibri"/>
          <w:sz w:val="22"/>
          <w:szCs w:val="22"/>
        </w:rPr>
        <w:t xml:space="preserve">Het Assurance-theme (deel 11, §5) regelt hoe het programma vertrouwen opbouwt dat het op koers ligt — en koppelt dit expliciet aan het model van </w:t>
      </w:r>
      <w:r>
        <w:rPr>
          <w:rFonts w:ascii="Calibri" w:cs="Calibri" w:eastAsia="Calibri" w:hAnsi="Calibri"/>
          <w:b/>
          <w:bCs/>
          <w:sz w:val="22"/>
          <w:szCs w:val="22"/>
        </w:rPr>
        <w:t xml:space="preserve">drie verdedigingslinies (three lines of defence)</w:t>
      </w:r>
      <w:r>
        <w:rPr>
          <w:rFonts w:ascii="Calibri" w:cs="Calibri" w:eastAsia="Calibri" w:hAnsi="Calibri"/>
          <w:sz w:val="22"/>
          <w:szCs w:val="22"/>
        </w:rPr>
        <w:t xml:space="preserve">:</w:t>
      </w:r>
    </w:p>
    <w:p>
      <w:pPr>
        <w:pStyle w:val="ListParagraph"/>
        <w:numPr>
          <w:ilvl w:val="0"/>
          <w:numId w:val="1"/>
        </w:numPr>
        <w:spacing w:after="100" w:line="280"/>
      </w:pPr>
      <w:r>
        <w:rPr>
          <w:rFonts w:ascii="Calibri" w:cs="Calibri" w:eastAsia="Calibri" w:hAnsi="Calibri"/>
          <w:b/>
          <w:bCs/>
          <w:sz w:val="22"/>
          <w:szCs w:val="22"/>
        </w:rPr>
        <w:t xml:space="preserve">Eerste lijn</w:t>
      </w:r>
      <w:r>
        <w:rPr>
          <w:rFonts w:ascii="Calibri" w:cs="Calibri" w:eastAsia="Calibri" w:hAnsi="Calibri"/>
          <w:sz w:val="22"/>
          <w:szCs w:val="22"/>
        </w:rPr>
        <w:t xml:space="preserve"> — de projectteams en programmamanagement zelf: dagelijkse controls, risico's identificeren, corrigerende acties nemen, als onderdeel van het gewone werk.</w:t>
      </w:r>
    </w:p>
    <w:p>
      <w:pPr>
        <w:pStyle w:val="ListParagraph"/>
        <w:numPr>
          <w:ilvl w:val="0"/>
          <w:numId w:val="1"/>
        </w:numPr>
        <w:spacing w:after="100" w:line="280"/>
      </w:pPr>
      <w:r>
        <w:rPr>
          <w:rFonts w:ascii="Calibri" w:cs="Calibri" w:eastAsia="Calibri" w:hAnsi="Calibri"/>
          <w:b/>
          <w:bCs/>
          <w:sz w:val="22"/>
          <w:szCs w:val="22"/>
        </w:rPr>
        <w:t xml:space="preserve">Tweede lijn</w:t>
      </w:r>
      <w:r>
        <w:rPr>
          <w:rFonts w:ascii="Calibri" w:cs="Calibri" w:eastAsia="Calibri" w:hAnsi="Calibri"/>
          <w:sz w:val="22"/>
          <w:szCs w:val="22"/>
        </w:rPr>
        <w:t xml:space="preserve"> — functies die toezicht faciliteren zonder zelf de uitvoering te doen, bijvoorbeeld het Programme Office (deel 14) of een aangewezen risicofunctie: bewaakt of de eerste lijn zijn werk goed doet, zonder dat zelf over te nemen.</w:t>
      </w:r>
    </w:p>
    <w:p>
      <w:pPr>
        <w:pStyle w:val="ListParagraph"/>
        <w:numPr>
          <w:ilvl w:val="0"/>
          <w:numId w:val="1"/>
        </w:numPr>
        <w:spacing w:after="100" w:line="280"/>
      </w:pPr>
      <w:r>
        <w:rPr>
          <w:rFonts w:ascii="Calibri" w:cs="Calibri" w:eastAsia="Calibri" w:hAnsi="Calibri"/>
          <w:b/>
          <w:bCs/>
          <w:sz w:val="22"/>
          <w:szCs w:val="22"/>
        </w:rPr>
        <w:t xml:space="preserve">Derde lijn</w:t>
      </w:r>
      <w:r>
        <w:rPr>
          <w:rFonts w:ascii="Calibri" w:cs="Calibri" w:eastAsia="Calibri" w:hAnsi="Calibri"/>
          <w:sz w:val="22"/>
          <w:szCs w:val="22"/>
        </w:rPr>
        <w:t xml:space="preserve"> — volledig onafhankelijke toetsing, los van het management, bijvoorbeeld interne audit: geeft de sponsoring group (deel 14) objectieve zekerheid, zonder zelf verantwoordelijk te zijn voor besluiten of uitvoering.</w:t>
      </w:r>
    </w:p>
    <w:p>
      <w:pPr>
        <w:spacing w:after="140" w:line="300"/>
      </w:pPr>
      <w:r>
        <w:rPr>
          <w:rFonts w:ascii="Calibri" w:cs="Calibri" w:eastAsia="Calibri" w:hAnsi="Calibri"/>
          <w:sz w:val="22"/>
          <w:szCs w:val="22"/>
        </w:rPr>
        <w:t xml:space="preserve">Dit model voorkomt een bekend risico: dat "assurance" in de praktijk wordt uitgevoerd door dezelfde mensen die ook verantwoordelijk zijn voor de uitvoering — vergelijkbaar met, maar uitgebreider dan, de eis in PRINCE2 (niveau 1, deel 3) dat Project Assurance nooit zichzelf mag controleren.</w:t>
      </w:r>
    </w:p>
    <w:p>
      <w:pPr>
        <w:pStyle w:val="Heading2"/>
        <w:spacing w:after="120" w:before="200"/>
      </w:pPr>
      <w:r>
        <w:rPr>
          <w:rFonts w:ascii="Georgia" w:cs="Georgia" w:eastAsia="Georgia" w:hAnsi="Georgia"/>
          <w:b/>
          <w:bCs/>
          <w:color w:val="2563A8"/>
          <w:sz w:val="28"/>
          <w:szCs w:val="28"/>
        </w:rPr>
        <w:t xml:space="preserve">5. Decisions: hoe en door wie</w:t>
      </w:r>
    </w:p>
    <w:p>
      <w:pPr>
        <w:spacing w:after="140" w:line="300"/>
      </w:pPr>
      <w:r>
        <w:rPr>
          <w:rFonts w:ascii="Calibri" w:cs="Calibri" w:eastAsia="Calibri" w:hAnsi="Calibri"/>
          <w:sz w:val="22"/>
          <w:szCs w:val="22"/>
        </w:rPr>
        <w:t xml:space="preserve">Het Decisions-theme beschrijft hoe programmamanagers besluiten nemen op de verschillende momenten in de levenscyclus — van de vier besluiten bij een Tranche Review (deel 13 en 15) tot dagelijkse operationele keuzes. De kern: besluitvorming moet </w:t>
      </w:r>
      <w:r>
        <w:rPr>
          <w:rFonts w:ascii="Calibri" w:cs="Calibri" w:eastAsia="Calibri" w:hAnsi="Calibri"/>
          <w:b/>
          <w:bCs/>
          <w:sz w:val="22"/>
          <w:szCs w:val="22"/>
        </w:rPr>
        <w:t xml:space="preserve">traceerbaar en op het juiste niveau</w:t>
      </w:r>
      <w:r>
        <w:rPr>
          <w:rFonts w:ascii="Calibri" w:cs="Calibri" w:eastAsia="Calibri" w:hAnsi="Calibri"/>
          <w:sz w:val="22"/>
          <w:szCs w:val="22"/>
        </w:rPr>
        <w:t xml:space="preserve"> plaatsvinden — dezelfde escalatielogica als hierboven (§3), nu toegepast op besluiten in plaats van issues. Een programma waarin iedereen overal over mag beslissen, is net zo problematisch als een programma waarin niemand iets mag beslissen zonder de sponsoring group erbij te halen.</w:t>
      </w:r>
    </w:p>
    <w:p>
      <w:pPr>
        <w:pStyle w:val="Heading2"/>
        <w:spacing w:after="120" w:before="200"/>
      </w:pPr>
      <w:r>
        <w:rPr>
          <w:rFonts w:ascii="Georgia" w:cs="Georgia" w:eastAsia="Georgia" w:hAnsi="Georgia"/>
          <w:b/>
          <w:bCs/>
          <w:color w:val="2563A8"/>
          <w:sz w:val="28"/>
          <w:szCs w:val="28"/>
        </w:rPr>
        <w:t xml:space="preserve">6. Risicobereidheid: programma versus project</w:t>
      </w:r>
    </w:p>
    <w:p>
      <w:pPr>
        <w:spacing w:after="140" w:line="300"/>
      </w:pPr>
      <w:r>
        <w:rPr>
          <w:rFonts w:ascii="Calibri" w:cs="Calibri" w:eastAsia="Calibri" w:hAnsi="Calibri"/>
          <w:sz w:val="22"/>
          <w:szCs w:val="22"/>
        </w:rPr>
        <w:t xml:space="preserve">Een programma kan een andere risicobereidheid (niveau 1, deel 6, §2) hanteren dan de optelsom van de risicobereidheid van zijn individuele projecten. Het Programma Mutatieplatform kan bijvoorbeeld, vanwege zijn strategische belang voor Meridiaan, bereid zijn meer risico te accepteren op één project (bijvoorbeeld een ambitieuze planning voor WGP 2.0) omdat het programma als geheel voldoende buffer heeft — of juist minder risico accepteren dan een individueel project zou tolereren, omdat de reputatieschade bij falen zich over de hele organisatie uitstrekt in plaats van over één project. Deze afweging wordt door de sponsoring group vastgesteld, niet door individuele projectmanagers.</w:t>
      </w:r>
    </w:p>
    <w:p>
      <w:pPr>
        <w:pStyle w:val="Heading2"/>
        <w:spacing w:after="120" w:before="200"/>
      </w:pPr>
      <w:r>
        <w:rPr>
          <w:rFonts w:ascii="Georgia" w:cs="Georgia" w:eastAsia="Georgia" w:hAnsi="Georgia"/>
          <w:b/>
          <w:bCs/>
          <w:color w:val="2563A8"/>
          <w:sz w:val="28"/>
          <w:szCs w:val="28"/>
        </w:rPr>
        <w:t xml:space="preserve">7. De grens van dit deel</w:t>
      </w:r>
    </w:p>
    <w:p>
      <w:pPr>
        <w:spacing w:after="140" w:line="300"/>
      </w:pPr>
      <w:r>
        <w:rPr>
          <w:rFonts w:ascii="Calibri" w:cs="Calibri" w:eastAsia="Calibri" w:hAnsi="Calibri"/>
          <w:sz w:val="22"/>
          <w:szCs w:val="22"/>
        </w:rPr>
        <w:t xml:space="preserve">Dit deel behandelt bewust geen kwantitatieve risicomodellering, Monte Carlo-simulaties, of gedetailleerde risicomatrices op programmaniveau — dat is het domein van een gespecialiseerde risicomanagementdiscipline die te uitgebreid is om terloops binnen deze cursus mee te nemen. Wat hier wél telt: het onderscheid tussen project- en programmarisico herkennen, weten wanneer te escaleren, en de assurance- en besluitvormingsstructuur begrijpen die dat mogelijk maakt.</w:t>
      </w:r>
    </w:p>
    <w:p>
      <w:pPr>
        <w:pStyle w:val="Heading2"/>
        <w:spacing w:after="120" w:before="200"/>
      </w:pPr>
      <w:r>
        <w:rPr>
          <w:rFonts w:ascii="Georgia" w:cs="Georgia" w:eastAsia="Georgia" w:hAnsi="Georgia"/>
          <w:b/>
          <w:bCs/>
          <w:color w:val="2563A8"/>
          <w:sz w:val="28"/>
          <w:szCs w:val="28"/>
        </w:rPr>
        <w:t xml:space="preserve">8. Toegepast op het Programma Mutatieplatform</w:t>
      </w:r>
    </w:p>
    <w:p>
      <w:pPr>
        <w:pStyle w:val="ListParagraph"/>
        <w:numPr>
          <w:ilvl w:val="0"/>
          <w:numId w:val="1"/>
        </w:numPr>
        <w:spacing w:after="100" w:line="280"/>
      </w:pPr>
      <w:r>
        <w:rPr>
          <w:rFonts w:ascii="Calibri" w:cs="Calibri" w:eastAsia="Calibri" w:hAnsi="Calibri"/>
          <w:b/>
          <w:bCs/>
          <w:sz w:val="22"/>
          <w:szCs w:val="22"/>
        </w:rPr>
        <w:t xml:space="preserve">Geaggregeerd risico</w:t>
      </w:r>
      <w:r>
        <w:rPr>
          <w:rFonts w:ascii="Calibri" w:cs="Calibri" w:eastAsia="Calibri" w:hAnsi="Calibri"/>
          <w:sz w:val="22"/>
          <w:szCs w:val="22"/>
        </w:rPr>
        <w:t xml:space="preserve">: de kans dat minstens één van de vijf projecten significant uitloopt, wordt periodiek herbeoordeeld door de programmamanager, apart van de vijf individuele risicoregisters.</w:t>
      </w:r>
    </w:p>
    <w:p>
      <w:pPr>
        <w:pStyle w:val="ListParagraph"/>
        <w:numPr>
          <w:ilvl w:val="0"/>
          <w:numId w:val="1"/>
        </w:numPr>
        <w:spacing w:after="100" w:line="280"/>
      </w:pPr>
      <w:r>
        <w:rPr>
          <w:rFonts w:ascii="Calibri" w:cs="Calibri" w:eastAsia="Calibri" w:hAnsi="Calibri"/>
          <w:b/>
          <w:bCs/>
          <w:sz w:val="22"/>
          <w:szCs w:val="22"/>
        </w:rPr>
        <w:t xml:space="preserve">Cross-project issue</w:t>
      </w:r>
      <w:r>
        <w:rPr>
          <w:rFonts w:ascii="Calibri" w:cs="Calibri" w:eastAsia="Calibri" w:hAnsi="Calibri"/>
          <w:sz w:val="22"/>
          <w:szCs w:val="22"/>
        </w:rPr>
        <w:t xml:space="preserve">: een off-specification bij de kernsysteemkoppeling wordt, zodra de impact op WGP 2.0 en de interne automatisering duidelijk is, geëscaleerd naar de Programme Board.</w:t>
      </w:r>
    </w:p>
    <w:p>
      <w:pPr>
        <w:pStyle w:val="ListParagraph"/>
        <w:numPr>
          <w:ilvl w:val="0"/>
          <w:numId w:val="1"/>
        </w:numPr>
        <w:spacing w:after="100" w:line="280"/>
      </w:pPr>
      <w:r>
        <w:rPr>
          <w:rFonts w:ascii="Calibri" w:cs="Calibri" w:eastAsia="Calibri" w:hAnsi="Calibri"/>
          <w:b/>
          <w:bCs/>
          <w:sz w:val="22"/>
          <w:szCs w:val="22"/>
        </w:rPr>
        <w:t xml:space="preserve">Assurance</w:t>
      </w:r>
      <w:r>
        <w:rPr>
          <w:rFonts w:ascii="Calibri" w:cs="Calibri" w:eastAsia="Calibri" w:hAnsi="Calibri"/>
          <w:sz w:val="22"/>
          <w:szCs w:val="22"/>
        </w:rPr>
        <w:t xml:space="preserve">: het Programme Office (tweede lijn) monitort of projectmanagers hun eigen risicoregisters serieus bijhouden; een periodieke, onafhankelijke audit (derde lijn) toetst of het hele programma nog volgens de eigen governanceregels wordt bestuurd.</w:t>
      </w:r>
    </w:p>
    <w:p>
      <w:pPr>
        <w:pStyle w:val="ListParagraph"/>
        <w:numPr>
          <w:ilvl w:val="0"/>
          <w:numId w:val="1"/>
        </w:numPr>
        <w:spacing w:after="100" w:line="280"/>
      </w:pPr>
      <w:r>
        <w:rPr>
          <w:rFonts w:ascii="Calibri" w:cs="Calibri" w:eastAsia="Calibri" w:hAnsi="Calibri"/>
          <w:b/>
          <w:bCs/>
          <w:sz w:val="22"/>
          <w:szCs w:val="22"/>
        </w:rPr>
        <w:t xml:space="preserve">Risicobereidheid</w:t>
      </w:r>
      <w:r>
        <w:rPr>
          <w:rFonts w:ascii="Calibri" w:cs="Calibri" w:eastAsia="Calibri" w:hAnsi="Calibri"/>
          <w:sz w:val="22"/>
          <w:szCs w:val="22"/>
        </w:rPr>
        <w:t xml:space="preserve">: de sponsoring group accepteert bewust een hoger risico op de opleverdatum van WGP 2.0, omdat vroege zichtbare resultaten belangrijk zijn voor het draagvlak van het hele programma — een strategische afweging die op programmaniveau wordt gemaakt, niet door de projectmanager van WGP 2.0 alleen.</w:t>
      </w:r>
    </w:p>
    <w:p>
      <w:pPr>
        <w:pStyle w:val="Heading2"/>
        <w:spacing w:after="120" w:before="200"/>
      </w:pPr>
      <w:r>
        <w:rPr>
          <w:rFonts w:ascii="Georgia" w:cs="Georgia" w:eastAsia="Georgia" w:hAnsi="Georgia"/>
          <w:b/>
          <w:bCs/>
          <w:color w:val="2563A8"/>
          <w:sz w:val="28"/>
          <w:szCs w:val="28"/>
        </w:rPr>
        <w:t xml:space="preserve">9. Vooruitblik</w:t>
      </w:r>
    </w:p>
    <w:p>
      <w:pPr>
        <w:spacing w:after="140" w:line="300"/>
      </w:pPr>
      <w:r>
        <w:rPr>
          <w:rFonts w:ascii="Calibri" w:cs="Calibri" w:eastAsia="Calibri" w:hAnsi="Calibri"/>
          <w:sz w:val="22"/>
          <w:szCs w:val="22"/>
        </w:rPr>
        <w:t xml:space="preserve">Deel 19 behandelt stakeholders, macht en politiek — het domein waar IPMA-C dieper gaat dan IPMA-D, en waar de spanningen tussen afdelingen en belangen binnen een programma als het Programma Mutatieplatform het scherpst zichtbaar worden.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18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2026-08-17T07:42:38.376Z</dcterms:created>
  <dcterms:modified xsi:type="dcterms:W3CDTF">2026-08-17T07:42:38.378Z</dcterms:modified>
</cp:coreProperties>
</file>

<file path=docProps/custom.xml><?xml version="1.0" encoding="utf-8"?>
<Properties xmlns="http://schemas.openxmlformats.org/officeDocument/2006/custom-properties" xmlns:vt="http://schemas.openxmlformats.org/officeDocument/2006/docPropsVTypes"/>
</file>