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19 — Stakeholders, macht en politiek</w:t>
      </w:r>
    </w:p>
    <w:p>
      <w:pPr>
        <w:spacing w:after="300"/>
      </w:pPr>
      <w:r>
        <w:rPr>
          <w:rFonts w:ascii="Calibri" w:cs="Calibri" w:eastAsia="Calibri" w:hAnsi="Calibri"/>
          <w:i/>
          <w:iCs/>
          <w:color w:val="2563A8"/>
          <w:sz w:val="22"/>
          <w:szCs w:val="22"/>
        </w:rPr>
        <w:t xml:space="preserve">Niveau 2 Professional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19 (deel 9 van niveau 2)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een dynamischer, minder instrumenteel beeld geven van stakeholdermanagement dan de macht/belang-matrix uit niveau 1 — met expliciete aandacht voor coalities, informele invloed en politieke patronen, aansluitend bij het niveau dat IPMA-C via het assessmentgesprek toetst.</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18, waarom dit nu zwaarder weegt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IPMA-D versus IPMA-C: de toetsvorm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19.1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contextuele competentie "invloed en belangen"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Van matrix naar coalities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19.2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Verdiepte gedragscompetenties en politieke patronen (reader §5–6)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19.3 en 19.4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Dit deel leent zich, meer dan de meeste andere delen, voor het inbrengen van eigen ervaring van deelnemers.</w:t>
      </w:r>
      <w:r>
        <w:rPr>
          <w:rFonts w:ascii="Calibri" w:cs="Calibri" w:eastAsia="Calibri" w:hAnsi="Calibri"/>
          <w:sz w:val="22"/>
          <w:szCs w:val="22"/>
        </w:rPr>
        <w:t xml:space="preserve"> Overweeg om, waar de groep dat vertrouwd genoeg vindt, deelnemers zelf (geanonimiseerde) voorbeelden van politieke dynamiek uit hun eigen werk te laten inbrengen — dit sluit direct aan bij hoe IPMA-C zelf ervaring toetst (reader §2).</w:t>
      </w:r>
    </w:p>
    <w:p>
      <w:pPr>
        <w:pStyle w:val="ListParagraph"/>
        <w:numPr>
          <w:ilvl w:val="0"/>
          <w:numId w:val="1"/>
        </w:numPr>
        <w:spacing w:after="100" w:line="280"/>
      </w:pPr>
      <w:r>
        <w:rPr>
          <w:rFonts w:ascii="Calibri" w:cs="Calibri" w:eastAsia="Calibri" w:hAnsi="Calibri"/>
          <w:b/>
          <w:bCs/>
          <w:sz w:val="22"/>
          <w:szCs w:val="22"/>
        </w:rPr>
        <w:t xml:space="preserve">Bij opdracht 19.2 is de valkuil dat groepen een coalitie bedenken die eigenlijk gewoon één machtige stakeholder is.</w:t>
      </w:r>
      <w:r>
        <w:rPr>
          <w:rFonts w:ascii="Calibri" w:cs="Calibri" w:eastAsia="Calibri" w:hAnsi="Calibri"/>
          <w:sz w:val="22"/>
          <w:szCs w:val="22"/>
        </w:rPr>
        <w:t xml:space="preserve"> Stuur bij: het punt van een coalitie is juist dat de afzonderlijke leden weinig macht hebben, maar gezamenlijk wél — dit onderscheidt het scherp van de klassieke macht/belang-matrix uit niveau 1.</w:t>
      </w:r>
    </w:p>
    <w:p>
      <w:pPr>
        <w:pStyle w:val="ListParagraph"/>
        <w:numPr>
          <w:ilvl w:val="0"/>
          <w:numId w:val="1"/>
        </w:numPr>
        <w:spacing w:after="100" w:line="280"/>
      </w:pPr>
      <w:r>
        <w:rPr>
          <w:rFonts w:ascii="Calibri" w:cs="Calibri" w:eastAsia="Calibri" w:hAnsi="Calibri"/>
          <w:b/>
          <w:bCs/>
          <w:sz w:val="22"/>
          <w:szCs w:val="22"/>
        </w:rPr>
        <w:t xml:space="preserve">Bij opdracht 19.3c (het Tranche Review-scenario) is het doel niet om de "ware agenda" te raden, maar om te oefenen met het signaleren dat argumenten en feiten niet overeenkomen</w:t>
      </w:r>
      <w:r>
        <w:rPr>
          <w:rFonts w:ascii="Calibri" w:cs="Calibri" w:eastAsia="Calibri" w:hAnsi="Calibri"/>
          <w:sz w:val="22"/>
          <w:szCs w:val="22"/>
        </w:rPr>
        <w:t xml:space="preserve"> — dat signaal alleen al is waardevolle informatie voor een programmamanager, ook zonder de onderliggende motivatie zeker te weten.</w:t>
      </w:r>
    </w:p>
    <w:p>
      <w:pPr>
        <w:pStyle w:val="ListParagraph"/>
        <w:numPr>
          <w:ilvl w:val="0"/>
          <w:numId w:val="1"/>
        </w:numPr>
        <w:spacing w:after="100" w:line="280"/>
      </w:pPr>
      <w:r>
        <w:rPr>
          <w:rFonts w:ascii="Calibri" w:cs="Calibri" w:eastAsia="Calibri" w:hAnsi="Calibri"/>
          <w:b/>
          <w:bCs/>
          <w:sz w:val="22"/>
          <w:szCs w:val="22"/>
        </w:rPr>
        <w:t xml:space="preserve">Blijf bij dit hele deel expliciet weg van het toeschrijven van kwade opzet aan specifieke, hypothetische personen.</w:t>
      </w:r>
      <w:r>
        <w:rPr>
          <w:rFonts w:ascii="Calibri" w:cs="Calibri" w:eastAsia="Calibri" w:hAnsi="Calibri"/>
          <w:sz w:val="22"/>
          <w:szCs w:val="22"/>
        </w:rPr>
        <w:t xml:space="preserve"> Het gaat om patronen herkennen en er professioneel mee omgaan, niet om wantrouwen cultiveren — bewaak deze toon ook als de discussie (terecht) levendig wordt.</w:t>
      </w:r>
    </w:p>
    <w:p>
      <w:pPr>
        <w:pStyle w:val="Heading2"/>
        <w:spacing w:after="120" w:before="200"/>
      </w:pPr>
      <w:r>
        <w:rPr>
          <w:rFonts w:ascii="Georgia" w:cs="Georgia" w:eastAsia="Georgia" w:hAnsi="Georgia"/>
          <w:b/>
          <w:bCs/>
          <w:color w:val="2563A8"/>
          <w:sz w:val="28"/>
          <w:szCs w:val="28"/>
        </w:rPr>
        <w:t xml:space="preserve">Modelantwoorden — Opdracht 19.1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IPMA-D.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IPMA-C.</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IPMA-D.</w:t>
      </w:r>
    </w:p>
    <w:p>
      <w:pPr>
        <w:pStyle w:val="Heading2"/>
        <w:spacing w:after="120" w:before="200"/>
      </w:pPr>
      <w:r>
        <w:rPr>
          <w:rFonts w:ascii="Georgia" w:cs="Georgia" w:eastAsia="Georgia" w:hAnsi="Georgia"/>
          <w:b/>
          <w:bCs/>
          <w:color w:val="2563A8"/>
          <w:sz w:val="28"/>
          <w:szCs w:val="28"/>
        </w:rPr>
        <w:t xml:space="preserve">Modelantwoord — Opdracht 19.2</w:t>
      </w:r>
    </w:p>
    <w:p>
      <w:pPr>
        <w:spacing w:after="140" w:line="300"/>
      </w:pPr>
      <w:r>
        <w:rPr>
          <w:rFonts w:ascii="Calibri" w:cs="Calibri" w:eastAsia="Calibri" w:hAnsi="Calibri"/>
          <w:sz w:val="22"/>
          <w:szCs w:val="22"/>
        </w:rPr>
        <w:t xml:space="preserve">Voorbeeld: individuele Klantcontact-medewerkers hebben elk weinig formele macht, maar gezamenlijk, via de OR of via informele, breed gedeelde onvrede, kunnen zij het draagvlak voor de hele verandering ondermijnen. Wat hen verbindt: een gedeeld gevoel dat hun expertise en positie door automatisering wordt bedreigd. Vroege herkenning: regelmatige, informele gesprekken met de werkvloer organiseren vóórdat formele weerstand zich vormt, in plaats van te wachten tot de OR een officieel standpunt inneemt.</w:t>
      </w:r>
    </w:p>
    <w:p>
      <w:pPr>
        <w:pStyle w:val="Heading2"/>
        <w:spacing w:after="120" w:before="200"/>
      </w:pPr>
      <w:r>
        <w:rPr>
          <w:rFonts w:ascii="Georgia" w:cs="Georgia" w:eastAsia="Georgia" w:hAnsi="Georgia"/>
          <w:b/>
          <w:bCs/>
          <w:color w:val="2563A8"/>
          <w:sz w:val="28"/>
          <w:szCs w:val="28"/>
        </w:rPr>
        <w:t xml:space="preserve">Modelantwoorden — Opdracht 19.3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Symbolische steun zonder daadwerkelijke betrokkenheid — eerste reactie: het directielid concreet en specifiek vragen om een bepaalde, meetbare vorm van steun (bijvoorbeeld capaciteit of budget), in plaats van algemene erkenning te accepteren als voldoende.</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Silovorming — eerste reactie: een gezamenlijk, gedeeld belang zichtbaar maken (bijvoorbeeld een gezamenlijke mijlpaal of gedeeld succes) in plaats van alleen te vragen om "beter samen te werken."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Verborgen agenda bij een tranche-beslissing — eerste reactie: doorvragen naar de onderliggende zorg zonder de stakeholder in het defensief te drukken, en de feitelijke voortgangscijfers apart, transparant op tafel leggen zodat het gesprek zich kan richten op wat er werkelijk speelt.</w:t>
      </w:r>
    </w:p>
    <w:p>
      <w:pPr>
        <w:pStyle w:val="Heading2"/>
        <w:spacing w:after="120" w:before="200"/>
      </w:pPr>
      <w:r>
        <w:rPr>
          <w:rFonts w:ascii="Georgia" w:cs="Georgia" w:eastAsia="Georgia" w:hAnsi="Georgia"/>
          <w:b/>
          <w:bCs/>
          <w:color w:val="2563A8"/>
          <w:sz w:val="28"/>
          <w:szCs w:val="28"/>
        </w:rPr>
        <w:t xml:space="preserve">Modelantwoord — Opdracht 19.4</w:t>
      </w:r>
    </w:p>
    <w:p>
      <w:pPr>
        <w:spacing w:after="140" w:line="300"/>
      </w:pPr>
      <w:r>
        <w:rPr>
          <w:rFonts w:ascii="Calibri" w:cs="Calibri" w:eastAsia="Calibri" w:hAnsi="Calibri"/>
          <w:sz w:val="22"/>
          <w:szCs w:val="22"/>
        </w:rPr>
        <w:t xml:space="preserve">Voorbeeld: (1) informele leiders binnen Klantcontact uitnodigen om mee te denken over de nieuwe rolindeling vóórdat die wordt vastgesteld, in plaats van hen achteraf te informeren; (2) een pilotgroep van medewerkers laten meewerken aan het ontwerp van de nieuwe workflow, zodat hun praktijkkennis het ontwerp verbetert én zij zich mede-eigenaar voelen van de uitkomst.</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Er is geen vast antwoord; laat deelnemers hun eigen grens formuleren. Een bruikbaar onderscheidingscriterium: gezond politiek bewustzijn richt zich op </w:t>
      </w:r>
      <w:r>
        <w:rPr>
          <w:rFonts w:ascii="Calibri" w:cs="Calibri" w:eastAsia="Calibri" w:hAnsi="Calibri"/>
          <w:b/>
          <w:bCs/>
          <w:sz w:val="22"/>
          <w:szCs w:val="22"/>
        </w:rPr>
        <w:t xml:space="preserve">patronen en belangen</w:t>
      </w:r>
      <w:r>
        <w:rPr>
          <w:rFonts w:ascii="Calibri" w:cs="Calibri" w:eastAsia="Calibri" w:hAnsi="Calibri"/>
          <w:sz w:val="22"/>
          <w:szCs w:val="22"/>
        </w:rPr>
        <w:t xml:space="preserve">, blijft nieuwsgierig, en zoekt naar gedeelde doelen; wantrouwen richt zich op </w:t>
      </w:r>
      <w:r>
        <w:rPr>
          <w:rFonts w:ascii="Calibri" w:cs="Calibri" w:eastAsia="Calibri" w:hAnsi="Calibri"/>
          <w:b/>
          <w:bCs/>
          <w:sz w:val="22"/>
          <w:szCs w:val="22"/>
        </w:rPr>
        <w:t xml:space="preserve">personen en motieven</w:t>
      </w:r>
      <w:r>
        <w:rPr>
          <w:rFonts w:ascii="Calibri" w:cs="Calibri" w:eastAsia="Calibri" w:hAnsi="Calibri"/>
          <w:sz w:val="22"/>
          <w:szCs w:val="22"/>
        </w:rPr>
        <w:t xml:space="preserve">, veronderstelt kwade opzet, en sluit samenwerking juist af in plaats van te openen.</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politiek bedrijven niet in strijd met transparante governance (deel 14)?"</w:t>
      </w:r>
      <w:r>
        <w:rPr>
          <w:rFonts w:ascii="Calibri" w:cs="Calibri" w:eastAsia="Calibri" w:hAnsi="Calibri"/>
          <w:sz w:val="22"/>
          <w:szCs w:val="22"/>
        </w:rPr>
        <w:t xml:space="preserve"> Nee — formele governance en informele dynamiek bestaan naast elkaar in elke organisatie; het punt van dit deel is niet dat politiek de governance moet vervangen, maar dat een programmamanager die de informele laag negeert, zijn formele governance in de praktijk zal zien haperen.</w:t>
      </w:r>
    </w:p>
    <w:p>
      <w:pPr>
        <w:pStyle w:val="ListParagraph"/>
        <w:numPr>
          <w:ilvl w:val="0"/>
          <w:numId w:val="1"/>
        </w:numPr>
        <w:spacing w:after="100" w:line="280"/>
      </w:pPr>
      <w:r>
        <w:rPr>
          <w:rFonts w:ascii="Calibri" w:cs="Calibri" w:eastAsia="Calibri" w:hAnsi="Calibri"/>
          <w:i/>
          <w:iCs/>
          <w:sz w:val="22"/>
          <w:szCs w:val="22"/>
        </w:rPr>
        <w:t xml:space="preserve">"Hoe oefen je dit soort vaardigheden, anders dan door ervaring?"</w:t>
      </w:r>
      <w:r>
        <w:rPr>
          <w:rFonts w:ascii="Calibri" w:cs="Calibri" w:eastAsia="Calibri" w:hAnsi="Calibri"/>
          <w:sz w:val="22"/>
          <w:szCs w:val="22"/>
        </w:rPr>
        <w:t xml:space="preserve"> Reflectie op eigen ervaring (zoals in dit deel geoefend), gerichte feedback van collega's, en — precies zoals IPMA-C vereist — het expliciet moeten verwoorden van een eigen, doorleefde situatie voor een assessor, wat vaak al op zichzelf verhelderend werkt.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19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2026-08-17T07:40:58.048Z</dcterms:created>
  <dcterms:modified xsi:type="dcterms:W3CDTF">2026-08-17T07:40:58.048Z</dcterms:modified>
</cp:coreProperties>
</file>

<file path=docProps/custom.xml><?xml version="1.0" encoding="utf-8"?>
<Properties xmlns="http://schemas.openxmlformats.org/officeDocument/2006/custom-properties" xmlns:vt="http://schemas.openxmlformats.org/officeDocument/2006/docPropsVTypes"/>
</file>