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19 — Stakeholders, macht en politiek</w:t>
      </w:r>
    </w:p>
    <w:p>
      <w:pPr>
        <w:spacing w:after="300"/>
      </w:pPr>
      <w:r>
        <w:rPr>
          <w:rFonts w:ascii="Calibri" w:cs="Calibri" w:eastAsia="Calibri" w:hAnsi="Calibri"/>
          <w:i/>
          <w:iCs/>
          <w:color w:val="2563A8"/>
          <w:sz w:val="22"/>
          <w:szCs w:val="22"/>
        </w:rPr>
        <w:t xml:space="preserve">Niveau 2 Professional · Project- en Programmamanagement</w:t>
      </w:r>
    </w:p>
    <w:p>
      <w:pPr>
        <w:pStyle w:val="Heading2"/>
        <w:spacing w:after="120" w:before="200"/>
      </w:pPr>
      <w:r>
        <w:rPr>
          <w:rFonts w:ascii="Georgia" w:cs="Georgia" w:eastAsia="Georgia" w:hAnsi="Georgia"/>
          <w:b/>
          <w:bCs/>
          <w:color w:val="2563A8"/>
          <w:sz w:val="28"/>
          <w:szCs w:val="28"/>
        </w:rPr>
        <w:t xml:space="preserve">1. Waarom dit nu zwaarder weegt</w:t>
      </w:r>
    </w:p>
    <w:p>
      <w:pPr>
        <w:spacing w:after="140" w:line="300"/>
      </w:pPr>
      <w:r>
        <w:rPr>
          <w:rFonts w:ascii="Calibri" w:cs="Calibri" w:eastAsia="Calibri" w:hAnsi="Calibri"/>
          <w:sz w:val="22"/>
          <w:szCs w:val="22"/>
        </w:rPr>
        <w:t xml:space="preserve">Niveau 1 (deel 9) introduceerde de macht/belang-matrix als eenvoudig hulpmiddel om stakeholders in te delen. Op programmaniveau, met meerdere projecten, meerdere afdelingen en een langere tijdshorizon, volstaat die matrix niet meer als enige instrument. Meer mensen hebben een stem, belangen lopen vaker uiteen, en besluiten raken meerdere delen van de organisatie tegelijk — precies het domein waar </w:t>
      </w:r>
      <w:r>
        <w:rPr>
          <w:rFonts w:ascii="Calibri" w:cs="Calibri" w:eastAsia="Calibri" w:hAnsi="Calibri"/>
          <w:b/>
          <w:bCs/>
          <w:sz w:val="22"/>
          <w:szCs w:val="22"/>
        </w:rPr>
        <w:t xml:space="preserve">IPMA-C</w:t>
      </w:r>
      <w:r>
        <w:rPr>
          <w:rFonts w:ascii="Calibri" w:cs="Calibri" w:eastAsia="Calibri" w:hAnsi="Calibri"/>
          <w:sz w:val="22"/>
          <w:szCs w:val="22"/>
        </w:rPr>
        <w:t xml:space="preserve"> dieper gaat dan IPMA-D.</w:t>
      </w:r>
    </w:p>
    <w:p>
      <w:pPr>
        <w:pStyle w:val="Heading2"/>
        <w:spacing w:after="120" w:before="200"/>
      </w:pPr>
      <w:r>
        <w:rPr>
          <w:rFonts w:ascii="Georgia" w:cs="Georgia" w:eastAsia="Georgia" w:hAnsi="Georgia"/>
          <w:b/>
          <w:bCs/>
          <w:color w:val="2563A8"/>
          <w:sz w:val="28"/>
          <w:szCs w:val="28"/>
        </w:rPr>
        <w:t xml:space="preserve">2. IPMA-C versus IPMA-D</w:t>
      </w:r>
    </w:p>
    <w:p>
      <w:pPr>
        <w:spacing w:after="140" w:line="300"/>
      </w:pPr>
      <w:r>
        <w:rPr>
          <w:rFonts w:ascii="Calibri" w:cs="Calibri" w:eastAsia="Calibri" w:hAnsi="Calibri"/>
          <w:sz w:val="22"/>
          <w:szCs w:val="22"/>
        </w:rPr>
        <w:t xml:space="preserve">Het verschil zit niet alleen in de stof, maar in de </w:t>
      </w:r>
      <w:r>
        <w:rPr>
          <w:rFonts w:ascii="Calibri" w:cs="Calibri" w:eastAsia="Calibri" w:hAnsi="Calibri"/>
          <w:b/>
          <w:bCs/>
          <w:sz w:val="22"/>
          <w:szCs w:val="22"/>
        </w:rPr>
        <w:t xml:space="preserve">toetsvorm</w:t>
      </w:r>
      <w:r>
        <w:rPr>
          <w:rFonts w:ascii="Calibri" w:cs="Calibri" w:eastAsia="Calibri" w:hAnsi="Calibri"/>
          <w:sz w:val="22"/>
          <w:szCs w:val="22"/>
        </w:rPr>
        <w:t xml:space="preserve">. IPMA-D is een kennisgericht examen (niveau 1, deel 1 §5); IPMA-C vereist, naast een schriftelijk deel, een </w:t>
      </w:r>
      <w:r>
        <w:rPr>
          <w:rFonts w:ascii="Calibri" w:cs="Calibri" w:eastAsia="Calibri" w:hAnsi="Calibri"/>
          <w:b/>
          <w:bCs/>
          <w:sz w:val="22"/>
          <w:szCs w:val="22"/>
        </w:rPr>
        <w:t xml:space="preserve">assessmentgesprek</w:t>
      </w:r>
      <w:r>
        <w:rPr>
          <w:rFonts w:ascii="Calibri" w:cs="Calibri" w:eastAsia="Calibri" w:hAnsi="Calibri"/>
          <w:sz w:val="22"/>
          <w:szCs w:val="22"/>
        </w:rPr>
        <w:t xml:space="preserve"> waarin kandidaten aantoonbare praktijkervaring moeten laten zien — geen hypothetische scenario's, maar eigen, doorleefde situaties waarin ze stakeholders hebben moeten managen, conflicten hebben moeten oplossen, of onder politieke druk beslissingen hebben moeten nemen. Dit weerspiegelt precies het onderwerp van dit deel: macht en politiek laten zich niet volledig vangen in een theoretisch model, en IPMA-C erkent dat door ervaring expliciet te toetsen.</w:t>
      </w:r>
    </w:p>
    <w:p>
      <w:pPr>
        <w:pStyle w:val="Heading2"/>
        <w:spacing w:after="120" w:before="200"/>
      </w:pPr>
      <w:r>
        <w:rPr>
          <w:rFonts w:ascii="Georgia" w:cs="Georgia" w:eastAsia="Georgia" w:hAnsi="Georgia"/>
          <w:b/>
          <w:bCs/>
          <w:color w:val="2563A8"/>
          <w:sz w:val="28"/>
          <w:szCs w:val="28"/>
        </w:rPr>
        <w:t xml:space="preserve">3. De contextuele competentie "invloed en belangen"</w:t>
      </w:r>
    </w:p>
    <w:p>
      <w:pPr>
        <w:spacing w:after="140" w:line="300"/>
      </w:pPr>
      <w:r>
        <w:rPr>
          <w:rFonts w:ascii="Calibri" w:cs="Calibri" w:eastAsia="Calibri" w:hAnsi="Calibri"/>
          <w:sz w:val="22"/>
          <w:szCs w:val="22"/>
        </w:rPr>
        <w:t xml:space="preserve">Binnen ICB4's Perspective-competenties (niveau 1, deel 9, §1) valt, onder de externe-omgevingcluster, een competentie die expliciet </w:t>
      </w:r>
      <w:r>
        <w:rPr>
          <w:rFonts w:ascii="Calibri" w:cs="Calibri" w:eastAsia="Calibri" w:hAnsi="Calibri"/>
          <w:b/>
          <w:bCs/>
          <w:sz w:val="22"/>
          <w:szCs w:val="22"/>
        </w:rPr>
        <w:t xml:space="preserve">macht en belangen</w:t>
      </w:r>
      <w:r>
        <w:rPr>
          <w:rFonts w:ascii="Calibri" w:cs="Calibri" w:eastAsia="Calibri" w:hAnsi="Calibri"/>
          <w:sz w:val="22"/>
          <w:szCs w:val="22"/>
        </w:rPr>
        <w:t xml:space="preserve"> ("power and interest") behandelt. Deze competentie erkent dat een programma niet in een neutrale ruimte opereert: verschillende afdelingen, individuen en externe partijen hebben eigen agenda's, en een programmamanager die dat negeert — hoe technisch sterk het programma ook is opgezet — loopt vroeg of laat vast op weerstand die niet met een planningstechniek is op te lossen.</w:t>
      </w:r>
    </w:p>
    <w:p>
      <w:pPr>
        <w:pStyle w:val="Heading2"/>
        <w:spacing w:after="120" w:before="200"/>
      </w:pPr>
      <w:r>
        <w:rPr>
          <w:rFonts w:ascii="Georgia" w:cs="Georgia" w:eastAsia="Georgia" w:hAnsi="Georgia"/>
          <w:b/>
          <w:bCs/>
          <w:color w:val="2563A8"/>
          <w:sz w:val="28"/>
          <w:szCs w:val="28"/>
        </w:rPr>
        <w:t xml:space="preserve">4. Van matrix naar coalities</w:t>
      </w:r>
    </w:p>
    <w:p>
      <w:pPr>
        <w:spacing w:after="140" w:line="300"/>
      </w:pPr>
      <w:r>
        <w:rPr>
          <w:rFonts w:ascii="Calibri" w:cs="Calibri" w:eastAsia="Calibri" w:hAnsi="Calibri"/>
          <w:sz w:val="22"/>
          <w:szCs w:val="22"/>
        </w:rPr>
        <w:t xml:space="preserve">De macht/belang-matrix (niveau 1, deel 9, §3) is statisch: één momentopname van vier kwadranten. Op programmaniveau is een dynamischer beeld nodig:</w:t>
      </w:r>
    </w:p>
    <w:p>
      <w:pPr>
        <w:pStyle w:val="ListParagraph"/>
        <w:numPr>
          <w:ilvl w:val="0"/>
          <w:numId w:val="1"/>
        </w:numPr>
        <w:spacing w:after="100" w:line="280"/>
      </w:pPr>
      <w:r>
        <w:rPr>
          <w:rFonts w:ascii="Calibri" w:cs="Calibri" w:eastAsia="Calibri" w:hAnsi="Calibri"/>
          <w:b/>
          <w:bCs/>
          <w:sz w:val="22"/>
          <w:szCs w:val="22"/>
        </w:rPr>
        <w:t xml:space="preserve">Coalities</w:t>
      </w:r>
      <w:r>
        <w:rPr>
          <w:rFonts w:ascii="Calibri" w:cs="Calibri" w:eastAsia="Calibri" w:hAnsi="Calibri"/>
          <w:sz w:val="22"/>
          <w:szCs w:val="22"/>
        </w:rPr>
        <w:t xml:space="preserve"> — stakeholders die individueel weinig macht hebben, kunnen gezamenlijk aanzienlijke invloed uitoefenen. Bij het Programma Mutatieplatform zouden bijvoorbeeld individuele Klantcontact-medewerkers, elk met weinig formele macht, gezamenlijk via de OR een blokkerende coalitie kunnen vormen als zij zich niet gehoord voelen.</w:t>
      </w:r>
    </w:p>
    <w:p>
      <w:pPr>
        <w:pStyle w:val="ListParagraph"/>
        <w:numPr>
          <w:ilvl w:val="0"/>
          <w:numId w:val="1"/>
        </w:numPr>
        <w:spacing w:after="100" w:line="280"/>
      </w:pPr>
      <w:r>
        <w:rPr>
          <w:rFonts w:ascii="Calibri" w:cs="Calibri" w:eastAsia="Calibri" w:hAnsi="Calibri"/>
          <w:b/>
          <w:bCs/>
          <w:sz w:val="22"/>
          <w:szCs w:val="22"/>
        </w:rPr>
        <w:t xml:space="preserve">Beïnvloeding zonder formele autoriteit</w:t>
      </w:r>
      <w:r>
        <w:rPr>
          <w:rFonts w:ascii="Calibri" w:cs="Calibri" w:eastAsia="Calibri" w:hAnsi="Calibri"/>
          <w:sz w:val="22"/>
          <w:szCs w:val="22"/>
        </w:rPr>
        <w:t xml:space="preserve"> — een programmamanager heeft zelden doorzettingsmacht over alle betrokken afdelingen; effectief programmamanagement vereist het vermogen om via overtuiging, geloofwaardigheid en relaties resultaat te boeken, ook zonder hiërarchische macht.</w:t>
      </w:r>
    </w:p>
    <w:p>
      <w:pPr>
        <w:pStyle w:val="ListParagraph"/>
        <w:numPr>
          <w:ilvl w:val="0"/>
          <w:numId w:val="1"/>
        </w:numPr>
        <w:spacing w:after="100" w:line="280"/>
      </w:pPr>
      <w:r>
        <w:rPr>
          <w:rFonts w:ascii="Calibri" w:cs="Calibri" w:eastAsia="Calibri" w:hAnsi="Calibri"/>
          <w:b/>
          <w:bCs/>
          <w:sz w:val="22"/>
          <w:szCs w:val="22"/>
        </w:rPr>
        <w:t xml:space="preserve">Verschuivende belangen over tijd</w:t>
      </w:r>
      <w:r>
        <w:rPr>
          <w:rFonts w:ascii="Calibri" w:cs="Calibri" w:eastAsia="Calibri" w:hAnsi="Calibri"/>
          <w:sz w:val="22"/>
          <w:szCs w:val="22"/>
        </w:rPr>
        <w:t xml:space="preserve"> — een stakeholder die bij de start van het programma weinig belang had, kan naarmate een tranche vordert (deel 15) plotseling sterk geraakt worden — de matrix moet dus, net als de benefits map (deel 12) en de blueprint (deel 15), een levend instrument zijn, geen eenmalige exercitie.</w:t>
      </w:r>
    </w:p>
    <w:p>
      <w:pPr>
        <w:pStyle w:val="Heading2"/>
        <w:spacing w:after="120" w:before="200"/>
      </w:pPr>
      <w:r>
        <w:rPr>
          <w:rFonts w:ascii="Georgia" w:cs="Georgia" w:eastAsia="Georgia" w:hAnsi="Georgia"/>
          <w:b/>
          <w:bCs/>
          <w:color w:val="2563A8"/>
          <w:sz w:val="28"/>
          <w:szCs w:val="28"/>
        </w:rPr>
        <w:t xml:space="preserve">5. Verdiepte gedragscompetenties</w:t>
      </w:r>
    </w:p>
    <w:p>
      <w:pPr>
        <w:spacing w:after="140" w:line="300"/>
      </w:pPr>
      <w:r>
        <w:rPr>
          <w:rFonts w:ascii="Calibri" w:cs="Calibri" w:eastAsia="Calibri" w:hAnsi="Calibri"/>
          <w:sz w:val="22"/>
          <w:szCs w:val="22"/>
        </w:rPr>
        <w:t xml:space="preserve">Vier ICB4 People-competenties (niveau 1, deel 9, §1) krijgen op IPMA-C-niveau een zwaardere, meer politiek geladen toepassing:</w:t>
      </w:r>
    </w:p>
    <w:p>
      <w:pPr>
        <w:pStyle w:val="ListParagraph"/>
        <w:numPr>
          <w:ilvl w:val="0"/>
          <w:numId w:val="1"/>
        </w:numPr>
        <w:spacing w:after="100" w:line="280"/>
      </w:pPr>
      <w:r>
        <w:rPr>
          <w:rFonts w:ascii="Calibri" w:cs="Calibri" w:eastAsia="Calibri" w:hAnsi="Calibri"/>
          <w:b/>
          <w:bCs/>
          <w:sz w:val="22"/>
          <w:szCs w:val="22"/>
        </w:rPr>
        <w:t xml:space="preserve">Relaties en betrokkenheid</w:t>
      </w:r>
      <w:r>
        <w:rPr>
          <w:rFonts w:ascii="Calibri" w:cs="Calibri" w:eastAsia="Calibri" w:hAnsi="Calibri"/>
          <w:sz w:val="22"/>
          <w:szCs w:val="22"/>
        </w:rPr>
        <w:t xml:space="preserve"> — niet alleen individuele stakeholders in kaart brengen, maar duurzame, wederkerige relaties opbouwen die ook standhouden wanneer het spannend wordt.</w:t>
      </w:r>
    </w:p>
    <w:p>
      <w:pPr>
        <w:pStyle w:val="ListParagraph"/>
        <w:numPr>
          <w:ilvl w:val="0"/>
          <w:numId w:val="1"/>
        </w:numPr>
        <w:spacing w:after="100" w:line="280"/>
      </w:pPr>
      <w:r>
        <w:rPr>
          <w:rFonts w:ascii="Calibri" w:cs="Calibri" w:eastAsia="Calibri" w:hAnsi="Calibri"/>
          <w:b/>
          <w:bCs/>
          <w:sz w:val="22"/>
          <w:szCs w:val="22"/>
        </w:rPr>
        <w:t xml:space="preserve">Leiderschap</w:t>
      </w:r>
      <w:r>
        <w:rPr>
          <w:rFonts w:ascii="Calibri" w:cs="Calibri" w:eastAsia="Calibri" w:hAnsi="Calibri"/>
          <w:sz w:val="22"/>
          <w:szCs w:val="22"/>
        </w:rPr>
        <w:t xml:space="preserve"> — situationeel leiderschap (niveau 1, deel 9, §2) volstaat binnen een team; op programmaniveau gaat het ook om leiderschap </w:t>
      </w:r>
      <w:r>
        <w:rPr>
          <w:rFonts w:ascii="Calibri" w:cs="Calibri" w:eastAsia="Calibri" w:hAnsi="Calibri"/>
          <w:b/>
          <w:bCs/>
          <w:sz w:val="22"/>
          <w:szCs w:val="22"/>
        </w:rPr>
        <w:t xml:space="preserve">zonder formele lijnautoriteit</w:t>
      </w:r>
      <w:r>
        <w:rPr>
          <w:rFonts w:ascii="Calibri" w:cs="Calibri" w:eastAsia="Calibri" w:hAnsi="Calibri"/>
          <w:sz w:val="22"/>
          <w:szCs w:val="22"/>
        </w:rPr>
        <w:t xml:space="preserve"> over mensen buiten het eigen team.</w:t>
      </w:r>
    </w:p>
    <w:p>
      <w:pPr>
        <w:pStyle w:val="ListParagraph"/>
        <w:numPr>
          <w:ilvl w:val="0"/>
          <w:numId w:val="1"/>
        </w:numPr>
        <w:spacing w:after="100" w:line="280"/>
      </w:pPr>
      <w:r>
        <w:rPr>
          <w:rFonts w:ascii="Calibri" w:cs="Calibri" w:eastAsia="Calibri" w:hAnsi="Calibri"/>
          <w:b/>
          <w:bCs/>
          <w:sz w:val="22"/>
          <w:szCs w:val="22"/>
        </w:rPr>
        <w:t xml:space="preserve">Onderhandelen</w:t>
      </w:r>
      <w:r>
        <w:rPr>
          <w:rFonts w:ascii="Calibri" w:cs="Calibri" w:eastAsia="Calibri" w:hAnsi="Calibri"/>
          <w:sz w:val="22"/>
          <w:szCs w:val="22"/>
        </w:rPr>
        <w:t xml:space="preserve"> — het onderscheid tussen positie en belang (niveau 1, deel 9, §2) wordt complexer wanneer meerdere partijen, elk met een eigen politieke agenda, tegelijk aan tafel zitten.</w:t>
      </w:r>
    </w:p>
    <w:p>
      <w:pPr>
        <w:pStyle w:val="ListParagraph"/>
        <w:numPr>
          <w:ilvl w:val="0"/>
          <w:numId w:val="1"/>
        </w:numPr>
        <w:spacing w:after="100" w:line="280"/>
      </w:pPr>
      <w:r>
        <w:rPr>
          <w:rFonts w:ascii="Calibri" w:cs="Calibri" w:eastAsia="Calibri" w:hAnsi="Calibri"/>
          <w:b/>
          <w:bCs/>
          <w:sz w:val="22"/>
          <w:szCs w:val="22"/>
        </w:rPr>
        <w:t xml:space="preserve">Conflict en crisis</w:t>
      </w:r>
      <w:r>
        <w:rPr>
          <w:rFonts w:ascii="Calibri" w:cs="Calibri" w:eastAsia="Calibri" w:hAnsi="Calibri"/>
          <w:sz w:val="22"/>
          <w:szCs w:val="22"/>
        </w:rPr>
        <w:t xml:space="preserve"> — niet elk conflict is met bemiddeling op te lossen; sommige conflicten zijn structureel (bijvoorbeeld: een afdeling die door het programma een deel van haar bestaansrecht verliest) en vereisen een andere aanpak dan een teamconflict.</w:t>
      </w:r>
    </w:p>
    <w:p>
      <w:pPr>
        <w:pStyle w:val="Heading2"/>
        <w:spacing w:after="120" w:before="200"/>
      </w:pPr>
      <w:r>
        <w:rPr>
          <w:rFonts w:ascii="Georgia" w:cs="Georgia" w:eastAsia="Georgia" w:hAnsi="Georgia"/>
          <w:b/>
          <w:bCs/>
          <w:color w:val="2563A8"/>
          <w:sz w:val="28"/>
          <w:szCs w:val="28"/>
        </w:rPr>
        <w:t xml:space="preserve">6. Politieke dynamiek herkennen</w:t>
      </w:r>
    </w:p>
    <w:p>
      <w:pPr>
        <w:spacing w:after="140" w:line="300"/>
      </w:pPr>
      <w:r>
        <w:rPr>
          <w:rFonts w:ascii="Calibri" w:cs="Calibri" w:eastAsia="Calibri" w:hAnsi="Calibri"/>
          <w:sz w:val="22"/>
          <w:szCs w:val="22"/>
        </w:rPr>
        <w:t xml:space="preserve">Een paar herkenbare patronen die op programmaniveau vaker voorkomen dan op projectniveau:</w:t>
      </w:r>
    </w:p>
    <w:p>
      <w:pPr>
        <w:pStyle w:val="ListParagraph"/>
        <w:numPr>
          <w:ilvl w:val="0"/>
          <w:numId w:val="1"/>
        </w:numPr>
        <w:spacing w:after="100" w:line="280"/>
      </w:pPr>
      <w:r>
        <w:rPr>
          <w:rFonts w:ascii="Calibri" w:cs="Calibri" w:eastAsia="Calibri" w:hAnsi="Calibri"/>
          <w:b/>
          <w:bCs/>
          <w:sz w:val="22"/>
          <w:szCs w:val="22"/>
        </w:rPr>
        <w:t xml:space="preserve">Silovorming</w:t>
      </w:r>
      <w:r>
        <w:rPr>
          <w:rFonts w:ascii="Calibri" w:cs="Calibri" w:eastAsia="Calibri" w:hAnsi="Calibri"/>
          <w:sz w:val="22"/>
          <w:szCs w:val="22"/>
        </w:rPr>
        <w:t xml:space="preserve"> — afdelingen die het programma vooral zien als bedreiging van hun eigen positie, in plaats van als gezamenlijk doel.</w:t>
      </w:r>
    </w:p>
    <w:p>
      <w:pPr>
        <w:pStyle w:val="ListParagraph"/>
        <w:numPr>
          <w:ilvl w:val="0"/>
          <w:numId w:val="1"/>
        </w:numPr>
        <w:spacing w:after="100" w:line="280"/>
      </w:pPr>
      <w:r>
        <w:rPr>
          <w:rFonts w:ascii="Calibri" w:cs="Calibri" w:eastAsia="Calibri" w:hAnsi="Calibri"/>
          <w:b/>
          <w:bCs/>
          <w:sz w:val="22"/>
          <w:szCs w:val="22"/>
        </w:rPr>
        <w:t xml:space="preserve">Symbolische steun zonder daadwerkelijke betrokkenheid</w:t>
      </w:r>
      <w:r>
        <w:rPr>
          <w:rFonts w:ascii="Calibri" w:cs="Calibri" w:eastAsia="Calibri" w:hAnsi="Calibri"/>
          <w:sz w:val="22"/>
          <w:szCs w:val="22"/>
        </w:rPr>
        <w:t xml:space="preserve"> — een sponsor die het programma publiekelijk steunt, maar in de praktijk geen middelen of aandacht vrijmaakt.</w:t>
      </w:r>
    </w:p>
    <w:p>
      <w:pPr>
        <w:pStyle w:val="ListParagraph"/>
        <w:numPr>
          <w:ilvl w:val="0"/>
          <w:numId w:val="1"/>
        </w:numPr>
        <w:spacing w:after="100" w:line="280"/>
      </w:pPr>
      <w:r>
        <w:rPr>
          <w:rFonts w:ascii="Calibri" w:cs="Calibri" w:eastAsia="Calibri" w:hAnsi="Calibri"/>
          <w:b/>
          <w:bCs/>
          <w:sz w:val="22"/>
          <w:szCs w:val="22"/>
        </w:rPr>
        <w:t xml:space="preserve">Verborgen agenda's bij tranche-beslissingen</w:t>
      </w:r>
      <w:r>
        <w:rPr>
          <w:rFonts w:ascii="Calibri" w:cs="Calibri" w:eastAsia="Calibri" w:hAnsi="Calibri"/>
          <w:sz w:val="22"/>
          <w:szCs w:val="22"/>
        </w:rPr>
        <w:t xml:space="preserve"> — een Tranche Review (deel 15, §5) die formeel over voortgang gaat, maar waarbij een stakeholder eigenlijk een andere, niet-uitgesproken reden heeft om te willen pauzeren of juist door te drukken.</w:t>
      </w:r>
    </w:p>
    <w:p>
      <w:pPr>
        <w:spacing w:after="140" w:line="300"/>
      </w:pPr>
      <w:r>
        <w:rPr>
          <w:rFonts w:ascii="Calibri" w:cs="Calibri" w:eastAsia="Calibri" w:hAnsi="Calibri"/>
          <w:sz w:val="22"/>
          <w:szCs w:val="22"/>
        </w:rPr>
        <w:t xml:space="preserve">Het herkennen van deze patronen is geen cynisme, maar een noodzakelijke vaardigheid: een programmamanager die alleen naar de formele governancestructuur (deel 14) kijkt en de informele dynamiek daaromheen negeert, mist een groot deel van wat een programma daadwerkelijk laat slagen of mislukken.</w:t>
      </w:r>
    </w:p>
    <w:p>
      <w:pPr>
        <w:pStyle w:val="Heading2"/>
        <w:spacing w:after="120" w:before="200"/>
      </w:pPr>
      <w:r>
        <w:rPr>
          <w:rFonts w:ascii="Georgia" w:cs="Georgia" w:eastAsia="Georgia" w:hAnsi="Georgia"/>
          <w:b/>
          <w:bCs/>
          <w:color w:val="2563A8"/>
          <w:sz w:val="28"/>
          <w:szCs w:val="28"/>
        </w:rPr>
        <w:t xml:space="preserve">7. Toegepast op het Programma Mutatieplatform</w:t>
      </w:r>
    </w:p>
    <w:p>
      <w:pPr>
        <w:spacing w:after="140" w:line="300"/>
      </w:pPr>
      <w:r>
        <w:rPr>
          <w:rFonts w:ascii="Calibri" w:cs="Calibri" w:eastAsia="Calibri" w:hAnsi="Calibri"/>
          <w:sz w:val="22"/>
          <w:szCs w:val="22"/>
        </w:rPr>
        <w:t xml:space="preserve">Een realistisch spanningsveld: de afdeling Klantcontact ziet de automatisering van mutatieverwerking deels als een bedreiging van de eigen werkgelegenheid en status, ook al is de officiële boodschap dat medewerkers zich gaan richten op complexere, waardevollere taken (deel 15, §6, blueprint-Organization). Een programmamanager die dit puur als een communicatievraagstuk behandelt — "we leggen het nog een keer duidelijker uit" — mist de onderliggende politieke realiteit. Een effectievere aanpak zou zijn: vroeg in het programma invloedrijke informele leiders binnen Klantcontact actief betrekken bij het ontwerp van de nieuwe rol (niet alleen informeren over het resultaat), zodat zij mede-eigenaar worden van de verandering in plaats van alleen object ervan.</w:t>
      </w:r>
    </w:p>
    <w:p>
      <w:pPr>
        <w:pStyle w:val="Heading2"/>
        <w:spacing w:after="120" w:before="200"/>
      </w:pPr>
      <w:r>
        <w:rPr>
          <w:rFonts w:ascii="Georgia" w:cs="Georgia" w:eastAsia="Georgia" w:hAnsi="Georgia"/>
          <w:b/>
          <w:bCs/>
          <w:color w:val="2563A8"/>
          <w:sz w:val="28"/>
          <w:szCs w:val="28"/>
        </w:rPr>
        <w:t xml:space="preserve">8. Vooruitblik</w:t>
      </w:r>
    </w:p>
    <w:p>
      <w:pPr>
        <w:spacing w:after="140" w:line="300"/>
      </w:pPr>
      <w:r>
        <w:rPr>
          <w:rFonts w:ascii="Calibri" w:cs="Calibri" w:eastAsia="Calibri" w:hAnsi="Calibri"/>
          <w:sz w:val="22"/>
          <w:szCs w:val="22"/>
        </w:rPr>
        <w:t xml:space="preserve">Deel 20 behandelt PMO en P3O, plus portfoliovolwassenheid — een zelfstandig aanbiedbaar deel over hoe een organisatie haar bredere project-, programma- en portfoliocapaciteit structureert en laat groeien.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2 Professional · Deel 19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2026-08-17T07:40:57.942Z</dcterms:created>
  <dcterms:modified xsi:type="dcterms:W3CDTF">2026-08-17T07:40:57.943Z</dcterms:modified>
</cp:coreProperties>
</file>

<file path=docProps/custom.xml><?xml version="1.0" encoding="utf-8"?>
<Properties xmlns="http://schemas.openxmlformats.org/officeDocument/2006/custom-properties" xmlns:vt="http://schemas.openxmlformats.org/officeDocument/2006/docPropsVTypes"/>
</file>