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20 — PMO, P3O en portfoliovolwassenheid</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20 (deel 10 van niveau 2 — zelfstandig aanbiedbaar)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een compleet, op zichzelf staand beeld geven van portfoliomanagement en ondersteuningsstructuren, bruikbaar zowel binnen de doorlopende cursus als voor deelnemers die specifiek dit deel apart volgen. Behandel het daarom met iets meer zelfstandige context dan de andere delen van niveau 2.</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Introductie (met korte herhaling project/programma/portfolio voor wie dit los volgt), MoP: de juiste dingen doen (reader §1–2)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principes van portfoliomanagement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20.1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Portfoliodefinitiecyclus en -leveringscyclus (reader §4–5)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P3O: de ondersteuningsstructuur (reader §6)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20.2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P3M3: het volwassenheidsmodel (reader §7)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20.3 en 20.4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Omdat dit deel zelfstandig aanbiedbaar is, controleer bij aanvang expliciet of alle deelnemers de basisdefinitie van project/programma/portfolio scherp hebben</w:t>
      </w:r>
      <w:r>
        <w:rPr>
          <w:rFonts w:ascii="Calibri" w:cs="Calibri" w:eastAsia="Calibri" w:hAnsi="Calibri"/>
          <w:sz w:val="22"/>
          <w:szCs w:val="22"/>
        </w:rPr>
        <w:t xml:space="preserve"> — voor wie de rest van de cursus heeft gevolgd is dit een korte herhaling, voor losse deelnemers een noodzakelijke basis.</w:t>
      </w:r>
    </w:p>
    <w:p>
      <w:pPr>
        <w:pStyle w:val="ListParagraph"/>
        <w:numPr>
          <w:ilvl w:val="0"/>
          <w:numId w:val="1"/>
        </w:numPr>
        <w:spacing w:after="100" w:line="280"/>
      </w:pPr>
      <w:r>
        <w:rPr>
          <w:rFonts w:ascii="Calibri" w:cs="Calibri" w:eastAsia="Calibri" w:hAnsi="Calibri"/>
          <w:b/>
          <w:bCs/>
          <w:sz w:val="22"/>
          <w:szCs w:val="22"/>
        </w:rPr>
        <w:t xml:space="preserve">Bij opdracht 20.1 is het onderscheid "de juiste dingen" versus "de dingen goed" de kern van het hele deel — herhaal dit onderscheid letterlijk bij de nabespreking van elke vraag.</w:t>
      </w:r>
    </w:p>
    <w:p>
      <w:pPr>
        <w:pStyle w:val="ListParagraph"/>
        <w:numPr>
          <w:ilvl w:val="0"/>
          <w:numId w:val="1"/>
        </w:numPr>
        <w:spacing w:after="100" w:line="280"/>
      </w:pPr>
      <w:r>
        <w:rPr>
          <w:rFonts w:ascii="Calibri" w:cs="Calibri" w:eastAsia="Calibri" w:hAnsi="Calibri"/>
          <w:b/>
          <w:bCs/>
          <w:sz w:val="22"/>
          <w:szCs w:val="22"/>
        </w:rPr>
        <w:t xml:space="preserve">De parallel tussen de portfolioleveringscyclus (7 praktijken) en de P3M3-perspectieven (7 perspectieven) is een aha-moment dat de moeite waard is om expliciet te benoemen, niet alleen terloops te laten passeren.</w:t>
      </w:r>
      <w:r>
        <w:rPr>
          <w:rFonts w:ascii="Calibri" w:cs="Calibri" w:eastAsia="Calibri" w:hAnsi="Calibri"/>
          <w:sz w:val="22"/>
          <w:szCs w:val="22"/>
        </w:rPr>
        <w:t xml:space="preserve"> Beide raamwerken kijken naar dezelfde bouwstenen; het is geen toeval maar een teken van een coherent, samenhangend geheel van AXELOS-raamwerken.</w:t>
      </w:r>
    </w:p>
    <w:p>
      <w:pPr>
        <w:pStyle w:val="ListParagraph"/>
        <w:numPr>
          <w:ilvl w:val="0"/>
          <w:numId w:val="1"/>
        </w:numPr>
        <w:spacing w:after="100" w:line="280"/>
      </w:pPr>
      <w:r>
        <w:rPr>
          <w:rFonts w:ascii="Calibri" w:cs="Calibri" w:eastAsia="Calibri" w:hAnsi="Calibri"/>
          <w:b/>
          <w:bCs/>
          <w:sz w:val="22"/>
          <w:szCs w:val="22"/>
        </w:rPr>
        <w:t xml:space="preserve">Bij opdracht 20.3 is (d) een instinker: "sommige teams gestructureerd, andere ad hoc" voelt voor sommige deelnemers als niveau 2 (Repeatable), maar is eigenlijk niveau 1 (Awareness) — er is namelijk geen organisatiebreed, herhaalbaar patroon, alleen losse eilanden.</w:t>
      </w:r>
      <w:r>
        <w:rPr>
          <w:rFonts w:ascii="Calibri" w:cs="Calibri" w:eastAsia="Calibri" w:hAnsi="Calibri"/>
          <w:sz w:val="22"/>
          <w:szCs w:val="22"/>
        </w:rPr>
        <w:t xml:space="preserve"> Corrigeer dit expliciet: Repeatable vereist dat het patroon zelf herhaalbaar is, niet dat er ergens al wat structuur bestaat.</w:t>
      </w:r>
    </w:p>
    <w:p>
      <w:pPr>
        <w:pStyle w:val="Heading2"/>
        <w:spacing w:after="120" w:before="200"/>
      </w:pPr>
      <w:r>
        <w:rPr>
          <w:rFonts w:ascii="Georgia" w:cs="Georgia" w:eastAsia="Georgia" w:hAnsi="Georgia"/>
          <w:b/>
          <w:bCs/>
          <w:color w:val="2563A8"/>
          <w:sz w:val="28"/>
          <w:szCs w:val="28"/>
        </w:rPr>
        <w:t xml:space="preserve">Modelantwoorden — Opdracht 20.1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MoP-vraag.</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PRINCE2/MSP-vraag.</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MoP-vraag.</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PRINCE2/MSP-vraag.</w:t>
      </w:r>
    </w:p>
    <w:p>
      <w:pPr>
        <w:pStyle w:val="Heading2"/>
        <w:spacing w:after="120" w:before="200"/>
      </w:pPr>
      <w:r>
        <w:rPr>
          <w:rFonts w:ascii="Georgia" w:cs="Georgia" w:eastAsia="Georgia" w:hAnsi="Georgia"/>
          <w:b/>
          <w:bCs/>
          <w:color w:val="2563A8"/>
          <w:sz w:val="28"/>
          <w:szCs w:val="28"/>
        </w:rPr>
        <w:t xml:space="preserve">Modelantwoorden — Opdracht 20.2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Centre of Excellence.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Programmakantoor.</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Hub-portfoliokantoor.</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Projectkantoor.</w:t>
      </w:r>
    </w:p>
    <w:p>
      <w:pPr>
        <w:pStyle w:val="Heading2"/>
        <w:spacing w:after="120" w:before="200"/>
      </w:pPr>
      <w:r>
        <w:rPr>
          <w:rFonts w:ascii="Georgia" w:cs="Georgia" w:eastAsia="Georgia" w:hAnsi="Georgia"/>
          <w:b/>
          <w:bCs/>
          <w:color w:val="2563A8"/>
          <w:sz w:val="28"/>
          <w:szCs w:val="28"/>
        </w:rPr>
        <w:t xml:space="preserve">Modelantwoorden — Opdracht 20.3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Niveau 1 (Awareness) — sterk afhankelijk van individuen, geen consistentie.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Niveau 3 (Defined) — gestandaardiseerd, gedocumenteerd, en de toepassing wordt getoetst (wat ook al richting Managed wijst, maar het kernkenmerk hier is standaardisatie).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Niveau 5 (Optimised) — data-gedreven continue verbetering.</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Niveau 1 (Awareness) — zie didactische aanwijzing: losse eilanden van structuur zijn geen organisatiebreed herhaalbaar patroon.</w:t>
      </w:r>
    </w:p>
    <w:p>
      <w:pPr>
        <w:pStyle w:val="Heading2"/>
        <w:spacing w:after="120" w:before="200"/>
      </w:pPr>
      <w:r>
        <w:rPr>
          <w:rFonts w:ascii="Georgia" w:cs="Georgia" w:eastAsia="Georgia" w:hAnsi="Georgia"/>
          <w:b/>
          <w:bCs/>
          <w:color w:val="2563A8"/>
          <w:sz w:val="28"/>
          <w:szCs w:val="28"/>
        </w:rPr>
        <w:t xml:space="preserve">Modelantwoord — Opdracht 20.4</w:t>
      </w:r>
    </w:p>
    <w:p>
      <w:pPr>
        <w:spacing w:after="140" w:line="300"/>
      </w:pPr>
      <w:r>
        <w:rPr>
          <w:rFonts w:ascii="Calibri" w:cs="Calibri" w:eastAsia="Calibri" w:hAnsi="Calibri"/>
          <w:sz w:val="22"/>
          <w:szCs w:val="22"/>
        </w:rPr>
        <w:t xml:space="preserve">Mogelijke stappen: (1) een organisatiebreed, verplicht sjabloon voor projectbrief en business case invoeren, zodat elk nieuw initiatief op dezelfde manier wordt beoordeeld vóórdat het start; (2) een lichte, periodieke portfolioreview instellen waarin alle lopende en voorgestelde initiatieven — niet alleen het Programma Mutatieplatform — gezamenlijk tegen de organisatiestrategie worden afgezet, als eerste stap richting een volwaardig portfoliokantoor.</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Antwoorden zullen verschillen. Een bruikbaar aanknopingspunt: organisaties met keurige processen op papier maar weinig energie in de praktijk herken je vaak aan symbolische steun zonder daadwerkelijke betrokkenheid (deel 19, §6) — dezelfde dynamiek als bij politieke patronen op programmaniveau, nu op het niveau van de hele organisatie.</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"Moet elke organisatie een volledig P3O optuigen?"</w:t>
      </w:r>
      <w:r>
        <w:rPr>
          <w:rFonts w:ascii="Calibri" w:cs="Calibri" w:eastAsia="Calibri" w:hAnsi="Calibri"/>
          <w:sz w:val="22"/>
          <w:szCs w:val="22"/>
        </w:rPr>
        <w:t xml:space="preserve"> Nee — P3O is bewust modulair; een kleine organisatie kan volstaan met een lichte, decentrale vorm waarin functies worden belegd zonder aparte kantoren, terwijl een grote, complexe organisatie baat heeft bij de volledige structuur.</w:t>
      </w:r>
    </w:p>
    <w:p>
      <w:pPr>
        <w:pStyle w:val="ListParagraph"/>
        <w:numPr>
          <w:ilvl w:val="0"/>
          <w:numId w:val="1"/>
        </w:numPr>
        <w:spacing w:after="100" w:line="280"/>
      </w:pPr>
      <w:r>
        <w:rPr>
          <w:rFonts w:ascii="Calibri" w:cs="Calibri" w:eastAsia="Calibri" w:hAnsi="Calibri"/>
          <w:i/>
          <w:iCs/>
          <w:sz w:val="22"/>
          <w:szCs w:val="22"/>
        </w:rPr>
        <w:t xml:space="preserve">"Is P3M3 een examen dat je kunt halen, zoals PRINCE2 Foundation?"</w:t>
      </w:r>
      <w:r>
        <w:rPr>
          <w:rFonts w:ascii="Calibri" w:cs="Calibri" w:eastAsia="Calibri" w:hAnsi="Calibri"/>
          <w:sz w:val="22"/>
          <w:szCs w:val="22"/>
        </w:rPr>
        <w:t xml:space="preserve"> Er bestaat een geaccrediteerde assessorroute voor organisatiebeoordelingen, maar dat is een andere soort certificering dan de individuele examens uit deze cursus — P3M3 beoordeelt de organisatie, niet de persoon.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20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2026-08-17T07:43:26.308Z</dcterms:created>
  <dcterms:modified xsi:type="dcterms:W3CDTF">2026-08-17T07:43:26.308Z</dcterms:modified>
</cp:coreProperties>
</file>

<file path=docProps/custom.xml><?xml version="1.0" encoding="utf-8"?>
<Properties xmlns="http://schemas.openxmlformats.org/officeDocument/2006/custom-properties" xmlns:vt="http://schemas.openxmlformats.org/officeDocument/2006/docPropsVTypes"/>
</file>