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4213D"/>
          <w:sz w:val="44"/>
          <w:szCs w:val="44"/>
        </w:rPr>
        <w:t xml:space="preserve">Deel 20 — PMO, P3O en portfoliovolwassenheid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563A8"/>
          <w:sz w:val="22"/>
          <w:szCs w:val="22"/>
        </w:rPr>
        <w:t xml:space="preserve">Niveau 2 Professional · Project- en Programmamanagement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Dit deel is zelfstandig aanbiedbaar: het staat los van de doorlopende casus van het Programma Mutatieplatform en kan ook apart worden gevolgd door wie specifiek in portfoliomanagement en ondersteuningsstructuren is geïnteresseerd.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1. Een niveau hoger dan het programma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Niveau 1 (deel 1, §4) introduceerde het onderscheid tussen project, programma en portfolio. Dit deel diept het laatste van de drie uit: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portfoliomanagement</w:t>
      </w:r>
      <w:r>
        <w:rPr>
          <w:rFonts w:ascii="Calibri" w:cs="Calibri" w:eastAsia="Calibri" w:hAnsi="Calibri"/>
          <w:sz w:val="22"/>
          <w:szCs w:val="22"/>
        </w:rPr>
        <w:t xml:space="preserve"> — het niveau waarop een organisatie kiest wélke programma's en projecten überhaupt worden gestart — en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ondersteuningsstructuren</w:t>
      </w:r>
      <w:r>
        <w:rPr>
          <w:rFonts w:ascii="Calibri" w:cs="Calibri" w:eastAsia="Calibri" w:hAnsi="Calibri"/>
          <w:sz w:val="22"/>
          <w:szCs w:val="22"/>
        </w:rPr>
        <w:t xml:space="preserve"> (PMO's, in AXELOS-termen P3O) die project-, programma- en portfoliomanagement in de praktijk mogelijk maken.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2. Portfoliomanagement: de juiste dingen doen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Waar PRINCE2 en MSP zich richten op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"de dingen goed doen"</w:t>
      </w:r>
      <w:r>
        <w:rPr>
          <w:rFonts w:ascii="Calibri" w:cs="Calibri" w:eastAsia="Calibri" w:hAnsi="Calibri"/>
          <w:sz w:val="22"/>
          <w:szCs w:val="22"/>
        </w:rPr>
        <w:t xml:space="preserve"> — een project of programma effectief besturen zodra het eenmaal loopt — richt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MoP (Management of Portfolios)</w:t>
      </w:r>
      <w:r>
        <w:rPr>
          <w:rFonts w:ascii="Calibri" w:cs="Calibri" w:eastAsia="Calibri" w:hAnsi="Calibri"/>
          <w:sz w:val="22"/>
          <w:szCs w:val="22"/>
        </w:rPr>
        <w:t xml:space="preserve"> zich op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"de juiste dingen doen"</w:t>
      </w:r>
      <w:r>
        <w:rPr>
          <w:rFonts w:ascii="Calibri" w:cs="Calibri" w:eastAsia="Calibri" w:hAnsi="Calibri"/>
          <w:sz w:val="22"/>
          <w:szCs w:val="22"/>
        </w:rPr>
        <w:t xml:space="preserve">: kiezen welke initiatieven de moeite waard zijn om te starten, gegeven beperkte capaciteit en middelen.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MoP beantwoordt in essentie vier vragen voor een organisatie: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Zijn alle huidige projecten en programma's daadwerkelijk nodig om de strategische doelen te bereiken?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Zal de huidige portfolio, samen met de lopende bedrijfsvoering, al die strategische doelen ook daadwerkelijk realiseren?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Is het geaggregeerde risico van alle projecten en programma's samen nog acceptabel?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Is de portfolio als geheel haalbaar en betaalbaar?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Dit is dezelfde geaggregeerde-risicogedachte als in deel 18 (§2), nu toegepast op het allerhoogste niveau: niet "raakt risico X in project A ook project B," maar "is de optelsom van alles wat de organisatie tegelijk onderneemt nog verantwoord?"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3. Vijf principes van portfoliomanagement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management commitment</w:t>
      </w:r>
      <w:r>
        <w:rPr>
          <w:rFonts w:ascii="Calibri" w:cs="Calibri" w:eastAsia="Calibri" w:hAnsi="Calibri"/>
          <w:sz w:val="22"/>
          <w:szCs w:val="22"/>
        </w:rPr>
        <w:t xml:space="preserve"> — portfoliomanagement werkt alleen als de top van de organisatie er daadwerkelijk naar handelt, niet alleen het woord ervoor gebruikt.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Governance alignment</w:t>
      </w:r>
      <w:r>
        <w:rPr>
          <w:rFonts w:ascii="Calibri" w:cs="Calibri" w:eastAsia="Calibri" w:hAnsi="Calibri"/>
          <w:sz w:val="22"/>
          <w:szCs w:val="22"/>
        </w:rPr>
        <w:t xml:space="preserve"> — de manier waarop portfoliobeslissingen worden genomen, moet aansluiten bij de bestaande bestuursstructuur van de organisatie, niet ernaast bestaan.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Strategy alignment</w:t>
      </w:r>
      <w:r>
        <w:rPr>
          <w:rFonts w:ascii="Calibri" w:cs="Calibri" w:eastAsia="Calibri" w:hAnsi="Calibri"/>
          <w:sz w:val="22"/>
          <w:szCs w:val="22"/>
        </w:rPr>
        <w:t xml:space="preserve"> — elke portfoliokeuze is direct te herleiden tot een strategisch doel; iets waarvoor die herleiding niet te maken is, hoort niet in de portfolio thuis.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Portfolio office</w:t>
      </w:r>
      <w:r>
        <w:rPr>
          <w:rFonts w:ascii="Calibri" w:cs="Calibri" w:eastAsia="Calibri" w:hAnsi="Calibri"/>
          <w:sz w:val="22"/>
          <w:szCs w:val="22"/>
        </w:rPr>
        <w:t xml:space="preserve"> — een aangewezen functie (zie §6) die de portfolio feitelijk beheert en bewaakt.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Energised change culture</w:t>
      </w:r>
      <w:r>
        <w:rPr>
          <w:rFonts w:ascii="Calibri" w:cs="Calibri" w:eastAsia="Calibri" w:hAnsi="Calibri"/>
          <w:sz w:val="22"/>
          <w:szCs w:val="22"/>
        </w:rPr>
        <w:t xml:space="preserve"> — een organisatie die verandering serieus neemt, niet alleen in woorden maar in de bereidheid om er tijd, aandacht en middelen aan te geven — MoP noemt dit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organisatorische energie</w:t>
      </w:r>
      <w:r>
        <w:rPr>
          <w:rFonts w:ascii="Calibri" w:cs="Calibri" w:eastAsia="Calibri" w:hAnsi="Calibri"/>
          <w:sz w:val="22"/>
          <w:szCs w:val="22"/>
        </w:rPr>
        <w:t xml:space="preserve">, de mate waarin een organisatie haar emotionele, cognitieve en gedragsmatige potentieel daadwerkelijk inzet.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4. De portfoliodefinitiecyclus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Grotendeels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sequentieel</w:t>
      </w:r>
      <w:r>
        <w:rPr>
          <w:rFonts w:ascii="Calibri" w:cs="Calibri" w:eastAsia="Calibri" w:hAnsi="Calibri"/>
          <w:sz w:val="22"/>
          <w:szCs w:val="22"/>
        </w:rPr>
        <w:t xml:space="preserve">, vergelijkbaar in geest met hoe PRINCE2's processen elkaar opvolgen (niveau 1, deel 7-8), maar dan op portfolioniveau: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Understand</w:t>
      </w:r>
      <w:r>
        <w:rPr>
          <w:rFonts w:ascii="Calibri" w:cs="Calibri" w:eastAsia="Calibri" w:hAnsi="Calibri"/>
          <w:sz w:val="22"/>
          <w:szCs w:val="22"/>
        </w:rPr>
        <w:t xml:space="preserve"> — welke initiatieven bestaan er (al lopend of voorgesteld), en wat is de strategische context?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Categorize</w:t>
      </w:r>
      <w:r>
        <w:rPr>
          <w:rFonts w:ascii="Calibri" w:cs="Calibri" w:eastAsia="Calibri" w:hAnsi="Calibri"/>
          <w:sz w:val="22"/>
          <w:szCs w:val="22"/>
        </w:rPr>
        <w:t xml:space="preserve"> — initiatieven indelen naar type (bijvoorbeeld: verplicht/compliance-gedreven versus strategisch versus operationeel).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Prioritize</w:t>
      </w:r>
      <w:r>
        <w:rPr>
          <w:rFonts w:ascii="Calibri" w:cs="Calibri" w:eastAsia="Calibri" w:hAnsi="Calibri"/>
          <w:sz w:val="22"/>
          <w:szCs w:val="22"/>
        </w:rPr>
        <w:t xml:space="preserve"> — welke initiatieven verdienen voorrang, gegeven strategische bijdrage, risico en haalbaarheid?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Balance</w:t>
      </w:r>
      <w:r>
        <w:rPr>
          <w:rFonts w:ascii="Calibri" w:cs="Calibri" w:eastAsia="Calibri" w:hAnsi="Calibri"/>
          <w:sz w:val="22"/>
          <w:szCs w:val="22"/>
        </w:rPr>
        <w:t xml:space="preserve"> — is de portfolio als geheel in balans (niet te veel risico geconcentreerd, niet te veel afhankelijk van dezelfde schaarse resources)?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Plan</w:t>
      </w:r>
      <w:r>
        <w:rPr>
          <w:rFonts w:ascii="Calibri" w:cs="Calibri" w:eastAsia="Calibri" w:hAnsi="Calibri"/>
          <w:sz w:val="22"/>
          <w:szCs w:val="22"/>
        </w:rPr>
        <w:t xml:space="preserve"> — de uiteindelijke portfolio vertalen naar een uitvoerbaar geheel van programma's en projecten.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5. De portfolioleveringscyclus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Grotendeels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parallel</w:t>
      </w:r>
      <w:r>
        <w:rPr>
          <w:rFonts w:ascii="Calibri" w:cs="Calibri" w:eastAsia="Calibri" w:hAnsi="Calibri"/>
          <w:sz w:val="22"/>
          <w:szCs w:val="22"/>
        </w:rPr>
        <w:t xml:space="preserve">, in tegenstelling tot de sequentiële definitiecyclus: zeven doorlopende praktijken die tegelijk actief zijn zodra de portfolio eenmaal draait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stakeholder engagement, organisatorische governance, resourcemanagement, risicomanagement, financieel management, batenmanagement, en management control</w:t>
      </w:r>
      <w:r>
        <w:rPr>
          <w:rFonts w:ascii="Calibri" w:cs="Calibri" w:eastAsia="Calibri" w:hAnsi="Calibri"/>
          <w:sz w:val="22"/>
          <w:szCs w:val="22"/>
        </w:rPr>
        <w:t xml:space="preserve">. Wie goed oplet, herkent hier bijna letterlijk de zeven perspectieven van P3M3 (§7) — geen toeval: beide raamwerken kijken naar dezelfde bouwstenen van gezond portfoliomanagement, de één als doorlopende praktijk, de ander als volwassenheidsmaatstaf.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6. P3O: de ondersteuningsstructuur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P3O (Portfolio, Programme and Project Offices)</w:t>
      </w:r>
      <w:r>
        <w:rPr>
          <w:rFonts w:ascii="Calibri" w:cs="Calibri" w:eastAsia="Calibri" w:hAnsi="Calibri"/>
          <w:sz w:val="22"/>
          <w:szCs w:val="22"/>
        </w:rPr>
        <w:t xml:space="preserve"> beschrijft hoe de ondersteunende kantoren die dit alles mogelijk maken, worden ingericht — permanent én tijdelijk naast elkaar: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Organisatie-portfoliokantoor</w:t>
      </w:r>
      <w:r>
        <w:rPr>
          <w:rFonts w:ascii="Calibri" w:cs="Calibri" w:eastAsia="Calibri" w:hAnsi="Calibri"/>
          <w:sz w:val="22"/>
          <w:szCs w:val="22"/>
        </w:rPr>
        <w:t xml:space="preserve"> — permanent, ondersteunt de definitie en levering van de portfolio voor de hele organisatie.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Hub-portfoliokantoor</w:t>
      </w:r>
      <w:r>
        <w:rPr>
          <w:rFonts w:ascii="Calibri" w:cs="Calibri" w:eastAsia="Calibri" w:hAnsi="Calibri"/>
          <w:sz w:val="22"/>
          <w:szCs w:val="22"/>
        </w:rPr>
        <w:t xml:space="preserve"> — permanent, maar op het niveau van een afdeling, divisie, regio of bedrijfsonderdeel.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Programmakantoor</w:t>
      </w:r>
      <w:r>
        <w:rPr>
          <w:rFonts w:ascii="Calibri" w:cs="Calibri" w:eastAsia="Calibri" w:hAnsi="Calibri"/>
          <w:sz w:val="22"/>
          <w:szCs w:val="22"/>
        </w:rPr>
        <w:t xml:space="preserve"> — tijdelijk, opgezet voor de duur van één specifiek programma (vergelijkbaar met, en vaak identiek aan, het Programme Office uit MSP, niveau 2 deel 14, §2).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Projectkantoor</w:t>
      </w:r>
      <w:r>
        <w:rPr>
          <w:rFonts w:ascii="Calibri" w:cs="Calibri" w:eastAsia="Calibri" w:hAnsi="Calibri"/>
          <w:sz w:val="22"/>
          <w:szCs w:val="22"/>
        </w:rPr>
        <w:t xml:space="preserve"> — tijdelijk, voor de duur van één specifiek project (de formele, uitgebreide vorm van PRINCE2's Project Support-rol, niveau 1, deel 3).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Centre of Excellence (CoE)</w:t>
      </w:r>
      <w:r>
        <w:rPr>
          <w:rFonts w:ascii="Calibri" w:cs="Calibri" w:eastAsia="Calibri" w:hAnsi="Calibri"/>
          <w:sz w:val="22"/>
          <w:szCs w:val="22"/>
        </w:rPr>
        <w:t xml:space="preserve"> — een standaarden- en kennisfunctie: ontwikkelt methoden, sjablonen, opleiding en borgt geleerde lessen; vaak samen gehuisvest met het portfoliokantoor.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Deze structuren zijn geen keuze tussen alternatieven, maar bouwstenen die naast elkaar bestaan: een organisatie heeft doorgaans een permanent portfoliokantoor (of hub-structuur), met daarnaast tijdelijke programma- en projectkantoren die ontstaan en weer verdwijnen naarmate programma's en projecten starten en sluiten.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7. P3M3: hoe volwassen is dit allemaal?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P3M3 (Portfolio, Programme and Project Management Maturity Model)</w:t>
      </w:r>
      <w:r>
        <w:rPr>
          <w:rFonts w:ascii="Calibri" w:cs="Calibri" w:eastAsia="Calibri" w:hAnsi="Calibri"/>
          <w:sz w:val="22"/>
          <w:szCs w:val="22"/>
        </w:rPr>
        <w:t xml:space="preserve"> biedt een gestructureerde manier om te beoordelen hoe volwassen een organisatie haar project-, programma- en portfoliomanagement daadwerkelijk uitvoert — niet alleen of de juiste structuren op papier bestaan, maar of ze in de praktijk werken.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Vijf niveaus</w:t>
      </w:r>
      <w:r>
        <w:rPr>
          <w:rFonts w:ascii="Calibri" w:cs="Calibri" w:eastAsia="Calibri" w:hAnsi="Calibri"/>
          <w:sz w:val="22"/>
          <w:szCs w:val="22"/>
        </w:rPr>
        <w:t xml:space="preserve">, geïnspireerd op het bredere Capability Maturity Model: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Awareness</w:t>
      </w:r>
      <w:r>
        <w:rPr>
          <w:rFonts w:ascii="Calibri" w:cs="Calibri" w:eastAsia="Calibri" w:hAnsi="Calibri"/>
          <w:sz w:val="22"/>
          <w:szCs w:val="22"/>
        </w:rPr>
        <w:t xml:space="preserve"> — processen zijn onvoorspelbaar, ad hoc en reactief; succes hangt af van individuele helden, niet van het systeem.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Repeatable</w:t>
      </w:r>
      <w:r>
        <w:rPr>
          <w:rFonts w:ascii="Calibri" w:cs="Calibri" w:eastAsia="Calibri" w:hAnsi="Calibri"/>
          <w:sz w:val="22"/>
          <w:szCs w:val="22"/>
        </w:rPr>
        <w:t xml:space="preserve"> — sommige processen zijn ingericht en worden herhaald, maar niet consistent — het hangt nog sterk af van wie het uitvoert.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Defined</w:t>
      </w:r>
      <w:r>
        <w:rPr>
          <w:rFonts w:ascii="Calibri" w:cs="Calibri" w:eastAsia="Calibri" w:hAnsi="Calibri"/>
          <w:sz w:val="22"/>
          <w:szCs w:val="22"/>
        </w:rPr>
        <w:t xml:space="preserve"> — processen zijn gestandaardiseerd, gedocumenteerd en organisatiebreed gecommuniceerd.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Managed</w:t>
      </w:r>
      <w:r>
        <w:rPr>
          <w:rFonts w:ascii="Calibri" w:cs="Calibri" w:eastAsia="Calibri" w:hAnsi="Calibri"/>
          <w:sz w:val="22"/>
          <w:szCs w:val="22"/>
        </w:rPr>
        <w:t xml:space="preserve"> — prestaties worden systematisch gemeten en gestuurd.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Optimised</w:t>
      </w:r>
      <w:r>
        <w:rPr>
          <w:rFonts w:ascii="Calibri" w:cs="Calibri" w:eastAsia="Calibri" w:hAnsi="Calibri"/>
          <w:sz w:val="22"/>
          <w:szCs w:val="22"/>
        </w:rPr>
        <w:t xml:space="preserve"> — continue verbetering is ingebed in de organisatie, gevoed door data en reflectie.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Zeven perspectieven</w:t>
      </w:r>
      <w:r>
        <w:rPr>
          <w:rFonts w:ascii="Calibri" w:cs="Calibri" w:eastAsia="Calibri" w:hAnsi="Calibri"/>
          <w:sz w:val="22"/>
          <w:szCs w:val="22"/>
        </w:rPr>
        <w:t xml:space="preserve">, elk beoordeeld op elk niveau: organisatorische governance, management control, batenmanagement, risicomanagement, stakeholdermanagement, financieel management, en resourcemanagement — vrijwel identiek aan de zeven praktijken uit de portfolioleveringscyclus (§5).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Drie deelmodellen</w:t>
      </w:r>
      <w:r>
        <w:rPr>
          <w:rFonts w:ascii="Calibri" w:cs="Calibri" w:eastAsia="Calibri" w:hAnsi="Calibri"/>
          <w:sz w:val="22"/>
          <w:szCs w:val="22"/>
        </w:rPr>
        <w:t xml:space="preserve">: PfM3 (portfolio, permanente organisatie), PgM3 (programma, tijdelijke organisatie) en PjM3 (project, tijdelijke organisatie) — elk apart of gezamenlijk te beoordelen, met de logica dat lagere-niveau capaciteiten (project) eerst op orde moeten zijn voordat hogere-niveau capaciteiten (programma, portfolio) daadwerkelijk kunnen renderen.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8. Toegepast op Meridiaan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Een realistisch beeld: Meridiaan heeft, vóór de herstart van WGP 2.0 en de opzet van het Programma Mutatieplatform, geen formeel portfoliokantoor — projecten worden per afdeling los geprioriteerd, zonder organisatiebrede afweging. Op P3M3 zou dit, op het perspectief organisatorische governance, waarschijnlijk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Awareness tot Repeatable</w:t>
      </w:r>
      <w:r>
        <w:rPr>
          <w:rFonts w:ascii="Calibri" w:cs="Calibri" w:eastAsia="Calibri" w:hAnsi="Calibri"/>
          <w:sz w:val="22"/>
          <w:szCs w:val="22"/>
        </w:rPr>
        <w:t xml:space="preserve"> scoren: er zijn wel individuele projectmanagers die het redelijk doen, maar geen consistent, organisatiebreed systeem.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 opzet van het Programma Mutatieplatform, met een eigen Programme Office (niveau 2, deel 14) en expliciete governance, is zelf al een stap richting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Defined</w:t>
      </w:r>
      <w:r>
        <w:rPr>
          <w:rFonts w:ascii="Calibri" w:cs="Calibri" w:eastAsia="Calibri" w:hAnsi="Calibri"/>
          <w:sz w:val="22"/>
          <w:szCs w:val="22"/>
        </w:rPr>
        <w:t xml:space="preserve">-niveau — maar zolang dit niet wordt uitgebreid naar een permanent, organisatiebreed portfoliokantoor met vergelijkbare governance voor ándere initiatieven, blijft de volwassenheid op portfolioniveau achter bij wat op programmaniveau al is bereikt.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9. Vooruitblik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21 keert terug naar de hoofdcasus: batenrealisatie, dit keer gericht op de overdracht aan de staande organisatie — hoe baten na het Programma Mutatieplatform daadwerkelijk beklijven, in plaats van te verdampen zodra de programmaorganisatie wordt ontbonden.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  <w:jc w:val="right"/>
    </w:pPr>
    <w:r>
      <w:rPr>
        <w:rFonts w:ascii="Calibri" w:cs="Calibri" w:eastAsia="Calibri" w:hAnsi="Calibri"/>
        <w:color w:val="2563A8"/>
        <w:sz w:val="16"/>
        <w:szCs w:val="16"/>
      </w:rPr>
      <w:t xml:space="preserve">Project- en Programmamanagement · Niveau 2 Professional · Deel 20 · Reader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2026-08-17T07:43:26.242Z</dcterms:created>
  <dcterms:modified xsi:type="dcterms:W3CDTF">2026-08-17T07:43:26.243Z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