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21 — Benefits realisation II: overdracht, adoptie, borging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2 Professional · Project- en Programmamanagement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Dagdeel:</w:t>
      </w:r>
      <w:r>
        <w:rPr>
          <w:rFonts w:ascii="Calibri" w:cs="Calibri" w:eastAsia="Calibri" w:hAnsi="Calibri"/>
          <w:sz w:val="22"/>
          <w:szCs w:val="22"/>
        </w:rPr>
        <w:t xml:space="preserve"> 21 (deel 11 van niveau 2)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Duur:</w:t>
      </w:r>
      <w:r>
        <w:rPr>
          <w:rFonts w:ascii="Calibri" w:cs="Calibri" w:eastAsia="Calibri" w:hAnsi="Calibri"/>
          <w:sz w:val="22"/>
          <w:szCs w:val="22"/>
        </w:rPr>
        <w:t xml:space="preserve"> circa 3 uur, inclusief pauze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Doel van dit deel:</w:t>
      </w:r>
      <w:r>
        <w:rPr>
          <w:rFonts w:ascii="Calibri" w:cs="Calibri" w:eastAsia="Calibri" w:hAnsi="Calibri"/>
          <w:sz w:val="22"/>
          <w:szCs w:val="22"/>
        </w:rPr>
        <w:t xml:space="preserve"> deelnemers laten zien dat batenrealisatie niet eindigt bij het meten of plannen (deel 12), maar bij het daadwerkelijk laten beklijven — met concrete instrumenten (de adoptiegereedschapskist) in plaats van vage aanmaningen tot "goede communicatie."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Opbouw en timing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Terugblik deel 12, introductie: van meten naar borgen (reader §1)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0:15–0:35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Embed the Outcomes: vier activiteiten (reader §2)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0:35–0:45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21.1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 + bespreking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0:45–1:00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Verandertempo en operationele stabiliteit (reader §3)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1:00–1:10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1:10–1:30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 adoptiegereedschapskist (reader §4)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1:30–1:55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21.2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Tweetallen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1:55–2:10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Batenrealisatie bewaken, overdracht bij afsluiting (reader §5–6)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2:10–2:20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Batenerosie (reader §7) + opdracht 21.3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 + klassikaal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2:20–2:28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21.4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Klassikaal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2:28–2:30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Vooruitblik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Didactische aanwijzingen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Bij opdracht 21.2 is de valkuil dat groepen alle vijf instrumenten als variaties op "communiceren" invullen.</w:t>
      </w:r>
      <w:r>
        <w:rPr>
          <w:rFonts w:ascii="Calibri" w:cs="Calibri" w:eastAsia="Calibri" w:hAnsi="Calibri"/>
          <w:sz w:val="22"/>
          <w:szCs w:val="22"/>
        </w:rPr>
        <w:t xml:space="preserve"> Stuur expliciet bij: prestatiemanagement en beleidsupdates zijn geen communicatie-instrumenten maar structurele aanpassingen — laat groepen concreet benoemen wélke beoordelingscriteria of beleidsregel daadwerkelijk verandert, niet alleen wélke boodschap wordt verstuurd.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Batenerosie (opdracht 21.3) is voor veel deelnemers een nieuw, herkenbaar begrip — geef er ruimte voor eigen voorbeelden uit de eigen werkpraktijk, ook buiten de Meridiaan-casus.</w:t>
      </w:r>
      <w:r>
        <w:rPr>
          <w:rFonts w:ascii="Calibri" w:cs="Calibri" w:eastAsia="Calibri" w:hAnsi="Calibri"/>
          <w:sz w:val="22"/>
          <w:szCs w:val="22"/>
        </w:rPr>
        <w:t xml:space="preserve"> Dit vergroot de kans dat het beklijft als concept, niet alleen als cursusterm.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Bij opdracht 21.3b (nieuwe medewerkers nooit getraind) is de les dat adoptie geen eenmalige gebeurtenis is, maar een doorlopend proces dat ook na programma-afsluiting moet worden ingebed in reguliere onboarding.</w:t>
      </w:r>
      <w:r>
        <w:rPr>
          <w:rFonts w:ascii="Calibri" w:cs="Calibri" w:eastAsia="Calibri" w:hAnsi="Calibri"/>
          <w:sz w:val="22"/>
          <w:szCs w:val="22"/>
        </w:rPr>
        <w:t xml:space="preserve"> Dit is een goed bruggetje naar opdracht 21.4.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Bij opdracht 21.4 is het doel een concreet, verifieerbaar afsprakenpakket, geen vage intentieverklaring.</w:t>
      </w:r>
      <w:r>
        <w:rPr>
          <w:rFonts w:ascii="Calibri" w:cs="Calibri" w:eastAsia="Calibri" w:hAnsi="Calibri"/>
          <w:sz w:val="22"/>
          <w:szCs w:val="22"/>
        </w:rPr>
        <w:t xml:space="preserve"> Test elke groepsoplossing met de vraag: "hoe zou je, twee jaar later, objectief kunnen vaststellen of deze afspraak is nagekomen?"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21.1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Voorbereiden.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Evalueren.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Implementeren.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Borgen.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21.2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Voorbeeld (andere, even valide antwoorden mogelijk):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Communicatie: een reeks korte, terugkerende updates over voortgang en concrete voorbeelden van geslaagde uitzonderingsafhandeling.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Training: een praktijkgerichte training specifiek gericht op het herkennen en beoordelen van complexe uitzonderingen, niet alleen systeeminstructie.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Procesaanpassingen: een nieuw werkinstructiedocument dat expliciet beschrijft wanneer een mutatie als "uitzondering" wordt bestempeld en hoe die wordt afgehandeld.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Beleidsupdates: het functieprofiel van Klantcontact-medewerkers formeel bijwerken zodat het de nieuwe, meer complexe taakinvulling weerspiegelt.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Prestatiemanagement: beoordelingscriteria aanpassen van "aantal verwerkte mutaties" naar "kwaliteit van uitzonderingsafhandeling", zodat medewerkers niet worden afgerekend op een verouderde maatstaf.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21.3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Batenerosie — mogelijke oorzaak: afnemende aandacht voor de nieuwe werkwijze, of validatieregels die niet zijn onderhouden.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Batenerosie via een structurele oorzaak — adoptie was nooit ingebed in de reguliere onboarding van nieuwe medewerkers.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Batenerosie via verlies van eigenaarschap — geen duidelijke, blijvende verantwoordelijke na het vertrek van de programmaorganisatie.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 — Opdracht 21.4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Mogelijk afsprakenpakket: (1) het hoofd Klantcontact is formeel, aantoonbaar eigenaar van de doorlooptijd-KPI, opgenomen in diens eigen functieprofiel; (2) een kwartaalrapportage die automatisch wordt gegenereerd en naar een vaste ontvanger gaat, niet afhankelijk van iemands eigen initiatief; (3) trainingsonderdeel over de nieuwe werkwijze structureel opgenomen in de onboarding van nieuwe Klantcontact-medewerkers; (4) een vooraf afgesproken drempelwaarde (bijvoorbeeld: doorlooptijd meer dan 10% boven het niveau bij afsluiting) die automatisch escaleert naar het MT.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 — Reflectievraag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Antwoorden zullen verschillen; stuur de nabespreking richting het onderscheid tussen "wat werd gezegd" en "wat structureel veranderde" — vaak blijkt bij nadere reflectie dat de communicatie prima was, maar dat beoordelingscriteria of processen ongewijzigd bleven, waardoor de oude prikkels de nieuwe boodschap ondermijnden.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Veelgestelde vragen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"Is Embed the Outcomes hetzelfde als 'change management'?"</w:t>
      </w:r>
      <w:r>
        <w:rPr>
          <w:rFonts w:ascii="Calibri" w:cs="Calibri" w:eastAsia="Calibri" w:hAnsi="Calibri"/>
          <w:sz w:val="22"/>
          <w:szCs w:val="22"/>
        </w:rPr>
        <w:t xml:space="preserve"> Sterk verwant — MSP's Embed the Outcomes is de programmatische toepassing van wat in de bredere veranderkundeliteratuur change management heet, met de BCM als de rol die dit specifiek namens de SRO uitvoert.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"Wie is verantwoordelijk voor het signaleren van batenerosie, jaren na afsluiting?"</w:t>
      </w:r>
      <w:r>
        <w:rPr>
          <w:rFonts w:ascii="Calibri" w:cs="Calibri" w:eastAsia="Calibri" w:hAnsi="Calibri"/>
          <w:sz w:val="22"/>
          <w:szCs w:val="22"/>
        </w:rPr>
        <w:t xml:space="preserve"> De aangewezen eigenaar in de lijnorganisatie (reader §6) — dit is precies waarom die eigenaar expliciet en formeel moet worden vastgelegd bij afsluiting, niet impliciet verondersteld.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2 Professional · Deel 21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2026-08-17T07:42:34.404Z</dcterms:created>
  <dcterms:modified xsi:type="dcterms:W3CDTF">2026-08-17T07:42:34.404Z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