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21 — Benefits realisation II: overdracht, adoptie, borging</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Van meten naar borgen</w:t>
      </w:r>
    </w:p>
    <w:p>
      <w:pPr>
        <w:spacing w:after="140" w:line="300"/>
      </w:pPr>
      <w:r>
        <w:rPr>
          <w:rFonts w:ascii="Calibri" w:cs="Calibri" w:eastAsia="Calibri" w:hAnsi="Calibri"/>
          <w:sz w:val="22"/>
          <w:szCs w:val="22"/>
        </w:rPr>
        <w:t xml:space="preserve">Deel 12 behandelde hoe baten in kaart worden gebracht en gepland: de benefits map, benefit profiles, de benefits management strategy. Dit deel behandelt de andere helft van de opgave — hoe baten daadwerkelijk </w:t>
      </w:r>
      <w:r>
        <w:rPr>
          <w:rFonts w:ascii="Calibri" w:cs="Calibri" w:eastAsia="Calibri" w:hAnsi="Calibri"/>
          <w:b/>
          <w:bCs/>
          <w:sz w:val="22"/>
          <w:szCs w:val="22"/>
        </w:rPr>
        <w:t xml:space="preserve">beklijven</w:t>
      </w:r>
      <w:r>
        <w:rPr>
          <w:rFonts w:ascii="Calibri" w:cs="Calibri" w:eastAsia="Calibri" w:hAnsi="Calibri"/>
          <w:sz w:val="22"/>
          <w:szCs w:val="22"/>
        </w:rPr>
        <w:t xml:space="preserve">, ook nadat het programma zelf is afgerond en de programmaorganisatie is ontbonden. Een baat die op papier prachtig is gepland maar na de laatste Tranche Review wegzakt, is uiteindelijk niet gerealiseerd — precies het lot dat bevinding 7 uit niveau 1 (geen zicht op baten) beschrijft, nu bezien vanuit het perspectief van wat er ná de formele afsluiting gebeurt.</w:t>
      </w:r>
    </w:p>
    <w:p>
      <w:pPr>
        <w:pStyle w:val="Heading2"/>
        <w:spacing w:after="120" w:before="200"/>
      </w:pPr>
      <w:r>
        <w:rPr>
          <w:rFonts w:ascii="Georgia" w:cs="Georgia" w:eastAsia="Georgia" w:hAnsi="Georgia"/>
          <w:b/>
          <w:bCs/>
          <w:color w:val="2563A8"/>
          <w:sz w:val="28"/>
          <w:szCs w:val="28"/>
        </w:rPr>
        <w:t xml:space="preserve">2. Embed the Outcomes: van levering naar adoptie</w:t>
      </w:r>
    </w:p>
    <w:p>
      <w:pPr>
        <w:spacing w:after="140" w:line="300"/>
      </w:pPr>
      <w:r>
        <w:rPr>
          <w:rFonts w:ascii="Calibri" w:cs="Calibri" w:eastAsia="Calibri" w:hAnsi="Calibri"/>
          <w:sz w:val="22"/>
          <w:szCs w:val="22"/>
        </w:rPr>
        <w:t xml:space="preserve">Het proces </w:t>
      </w:r>
      <w:r>
        <w:rPr>
          <w:rFonts w:ascii="Calibri" w:cs="Calibri" w:eastAsia="Calibri" w:hAnsi="Calibri"/>
          <w:b/>
          <w:bCs/>
          <w:sz w:val="22"/>
          <w:szCs w:val="22"/>
        </w:rPr>
        <w:t xml:space="preserve">Embed the Outcomes</w:t>
      </w:r>
      <w:r>
        <w:rPr>
          <w:rFonts w:ascii="Calibri" w:cs="Calibri" w:eastAsia="Calibri" w:hAnsi="Calibri"/>
          <w:sz w:val="22"/>
          <w:szCs w:val="22"/>
        </w:rPr>
        <w:t xml:space="preserve"> (deel 11, §7) — in eerdere edities van MSP "Realizing the Benefits" genoemd — draait om vier kernactiviteiten:</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De organisatie voorbereiden op transitie</w:t>
      </w:r>
      <w:r>
        <w:rPr>
          <w:rFonts w:ascii="Calibri" w:cs="Calibri" w:eastAsia="Calibri" w:hAnsi="Calibri"/>
          <w:sz w:val="22"/>
          <w:szCs w:val="22"/>
        </w:rPr>
        <w:t xml:space="preserve"> — vaststellen wat er in de dagelijkse praktijk moet veranderen, en wie daarvoor verantwoordelijk is.</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De verandering implementeren</w:t>
      </w:r>
      <w:r>
        <w:rPr>
          <w:rFonts w:ascii="Calibri" w:cs="Calibri" w:eastAsia="Calibri" w:hAnsi="Calibri"/>
          <w:sz w:val="22"/>
          <w:szCs w:val="22"/>
        </w:rPr>
        <w:t xml:space="preserve"> — de daadwerkelijke overgang van oude naar nieuwe werkwijze.</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De verandering borgen</w:t>
      </w:r>
      <w:r>
        <w:rPr>
          <w:rFonts w:ascii="Calibri" w:cs="Calibri" w:eastAsia="Calibri" w:hAnsi="Calibri"/>
          <w:sz w:val="22"/>
          <w:szCs w:val="22"/>
        </w:rPr>
        <w:t xml:space="preserve"> — zorgen dat de nieuwe werkwijze standhoudt, niet alleen op de dag van livegang maar structureel.</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Evalueren of de nieuwe situatie is bereikt</w:t>
      </w:r>
      <w:r>
        <w:rPr>
          <w:rFonts w:ascii="Calibri" w:cs="Calibri" w:eastAsia="Calibri" w:hAnsi="Calibri"/>
          <w:sz w:val="22"/>
          <w:szCs w:val="22"/>
        </w:rPr>
        <w:t xml:space="preserve"> — objectief vaststellen of de beoogde outcome (deel 12, §2) daadwerkelijk is gerealiseerd, niet alleen of het nieuwe systeem "aan staat."</w:t>
      </w:r>
    </w:p>
    <w:p>
      <w:pPr>
        <w:spacing w:after="140" w:line="300"/>
      </w:pPr>
      <w:r>
        <w:rPr>
          <w:rFonts w:ascii="Calibri" w:cs="Calibri" w:eastAsia="Calibri" w:hAnsi="Calibri"/>
          <w:sz w:val="22"/>
          <w:szCs w:val="22"/>
        </w:rPr>
        <w:t xml:space="preserve">Het cruciale punt: dit proces gaat niet over het opleveren van outputs (dat is Deliver the Capabilities, deel 11 §7) maar over de vertaalslag ná oplevering — precies het domein van de Business Change Manager.</w:t>
      </w:r>
    </w:p>
    <w:p>
      <w:pPr>
        <w:pStyle w:val="Heading2"/>
        <w:spacing w:after="120" w:before="200"/>
      </w:pPr>
      <w:r>
        <w:rPr>
          <w:rFonts w:ascii="Georgia" w:cs="Georgia" w:eastAsia="Georgia" w:hAnsi="Georgia"/>
          <w:b/>
          <w:bCs/>
          <w:color w:val="2563A8"/>
          <w:sz w:val="28"/>
          <w:szCs w:val="28"/>
        </w:rPr>
        <w:t xml:space="preserve">3. De balans tussen verandertempo en operationele stabiliteit</w:t>
      </w:r>
    </w:p>
    <w:p>
      <w:pPr>
        <w:spacing w:after="140" w:line="300"/>
      </w:pPr>
      <w:r>
        <w:rPr>
          <w:rFonts w:ascii="Calibri" w:cs="Calibri" w:eastAsia="Calibri" w:hAnsi="Calibri"/>
          <w:sz w:val="22"/>
          <w:szCs w:val="22"/>
        </w:rPr>
        <w:t xml:space="preserve">Embed the Outcomes moet de overgang van oude naar nieuwe werkwijze begeleiden </w:t>
      </w:r>
      <w:r>
        <w:rPr>
          <w:rFonts w:ascii="Calibri" w:cs="Calibri" w:eastAsia="Calibri" w:hAnsi="Calibri"/>
          <w:b/>
          <w:bCs/>
          <w:sz w:val="22"/>
          <w:szCs w:val="22"/>
        </w:rPr>
        <w:t xml:space="preserve">terwijl de operationele stabiliteit en prestaties overeind blijven</w:t>
      </w:r>
      <w:r>
        <w:rPr>
          <w:rFonts w:ascii="Calibri" w:cs="Calibri" w:eastAsia="Calibri" w:hAnsi="Calibri"/>
          <w:sz w:val="22"/>
          <w:szCs w:val="22"/>
        </w:rPr>
        <w:t xml:space="preserve"> — dit is dezelfde balans als het absorptievermogen uit deel 15 (§4), nu toegepast op het moment van daadwerkelijke transitie in plaats van op de tranche-planning. Een overgang die te abrupt verloopt, ondermijnt precies de dienstverlening die het programma juist wilde verbeteren.</w:t>
      </w:r>
    </w:p>
    <w:p>
      <w:pPr>
        <w:pStyle w:val="Heading2"/>
        <w:spacing w:after="120" w:before="200"/>
      </w:pPr>
      <w:r>
        <w:rPr>
          <w:rFonts w:ascii="Georgia" w:cs="Georgia" w:eastAsia="Georgia" w:hAnsi="Georgia"/>
          <w:b/>
          <w:bCs/>
          <w:color w:val="2563A8"/>
          <w:sz w:val="28"/>
          <w:szCs w:val="28"/>
        </w:rPr>
        <w:t xml:space="preserve">4. De adoptiegereedschapskist van de BCM</w:t>
      </w:r>
    </w:p>
    <w:p>
      <w:pPr>
        <w:spacing w:after="140" w:line="300"/>
      </w:pPr>
      <w:r>
        <w:rPr>
          <w:rFonts w:ascii="Calibri" w:cs="Calibri" w:eastAsia="Calibri" w:hAnsi="Calibri"/>
          <w:sz w:val="22"/>
          <w:szCs w:val="22"/>
        </w:rPr>
        <w:t xml:space="preserve">"Adoptie bevorderen" is geen vage inspanning maar een set concrete instrumenten die de Business Change Manager inzet:</w:t>
      </w:r>
    </w:p>
    <w:p>
      <w:pPr>
        <w:pStyle w:val="ListParagraph"/>
        <w:numPr>
          <w:ilvl w:val="0"/>
          <w:numId w:val="1"/>
        </w:numPr>
        <w:spacing w:after="100" w:line="280"/>
      </w:pPr>
      <w:r>
        <w:rPr>
          <w:rFonts w:ascii="Calibri" w:cs="Calibri" w:eastAsia="Calibri" w:hAnsi="Calibri"/>
          <w:b/>
          <w:bCs/>
          <w:sz w:val="22"/>
          <w:szCs w:val="22"/>
        </w:rPr>
        <w:t xml:space="preserve">Communicatie</w:t>
      </w:r>
      <w:r>
        <w:rPr>
          <w:rFonts w:ascii="Calibri" w:cs="Calibri" w:eastAsia="Calibri" w:hAnsi="Calibri"/>
          <w:sz w:val="22"/>
          <w:szCs w:val="22"/>
        </w:rPr>
        <w:t xml:space="preserve"> — niet alleen aankondigen, maar doorlopend uitleggen wat er verandert en waarom.</w:t>
      </w:r>
    </w:p>
    <w:p>
      <w:pPr>
        <w:pStyle w:val="ListParagraph"/>
        <w:numPr>
          <w:ilvl w:val="0"/>
          <w:numId w:val="1"/>
        </w:numPr>
        <w:spacing w:after="100" w:line="280"/>
      </w:pPr>
      <w:r>
        <w:rPr>
          <w:rFonts w:ascii="Calibri" w:cs="Calibri" w:eastAsia="Calibri" w:hAnsi="Calibri"/>
          <w:b/>
          <w:bCs/>
          <w:sz w:val="22"/>
          <w:szCs w:val="22"/>
        </w:rPr>
        <w:t xml:space="preserve">Training</w:t>
      </w:r>
      <w:r>
        <w:rPr>
          <w:rFonts w:ascii="Calibri" w:cs="Calibri" w:eastAsia="Calibri" w:hAnsi="Calibri"/>
          <w:sz w:val="22"/>
          <w:szCs w:val="22"/>
        </w:rPr>
        <w:t xml:space="preserve"> — vaardigheden opbouwen die de nieuwe werkwijze vereist, afgestemd op wat mensen al kunnen (vergelijkbaar met situationeel leiderschap, niveau 1, deel 9, §2: niet iedereen heeft dezelfde ondersteuning nodig).</w:t>
      </w:r>
    </w:p>
    <w:p>
      <w:pPr>
        <w:pStyle w:val="ListParagraph"/>
        <w:numPr>
          <w:ilvl w:val="0"/>
          <w:numId w:val="1"/>
        </w:numPr>
        <w:spacing w:after="100" w:line="280"/>
      </w:pPr>
      <w:r>
        <w:rPr>
          <w:rFonts w:ascii="Calibri" w:cs="Calibri" w:eastAsia="Calibri" w:hAnsi="Calibri"/>
          <w:b/>
          <w:bCs/>
          <w:sz w:val="22"/>
          <w:szCs w:val="22"/>
        </w:rPr>
        <w:t xml:space="preserve">Procesaanpassingen</w:t>
      </w:r>
      <w:r>
        <w:rPr>
          <w:rFonts w:ascii="Calibri" w:cs="Calibri" w:eastAsia="Calibri" w:hAnsi="Calibri"/>
          <w:sz w:val="22"/>
          <w:szCs w:val="22"/>
        </w:rPr>
        <w:t xml:space="preserve"> — de daadwerkelijke werkinstructies, systemen en workflows die de nieuwe manier van werken vastleggen.</w:t>
      </w:r>
    </w:p>
    <w:p>
      <w:pPr>
        <w:pStyle w:val="ListParagraph"/>
        <w:numPr>
          <w:ilvl w:val="0"/>
          <w:numId w:val="1"/>
        </w:numPr>
        <w:spacing w:after="100" w:line="280"/>
      </w:pPr>
      <w:r>
        <w:rPr>
          <w:rFonts w:ascii="Calibri" w:cs="Calibri" w:eastAsia="Calibri" w:hAnsi="Calibri"/>
          <w:b/>
          <w:bCs/>
          <w:sz w:val="22"/>
          <w:szCs w:val="22"/>
        </w:rPr>
        <w:t xml:space="preserve">Beleidsupdates</w:t>
      </w:r>
      <w:r>
        <w:rPr>
          <w:rFonts w:ascii="Calibri" w:cs="Calibri" w:eastAsia="Calibri" w:hAnsi="Calibri"/>
          <w:sz w:val="22"/>
          <w:szCs w:val="22"/>
        </w:rPr>
        <w:t xml:space="preserve"> — waar nodig, formele regels en richtlijnen aanpassen zodat ze de nieuwe werkwijze ondersteunen in plaats van tegenwerken.</w:t>
      </w:r>
    </w:p>
    <w:p>
      <w:pPr>
        <w:pStyle w:val="ListParagraph"/>
        <w:numPr>
          <w:ilvl w:val="0"/>
          <w:numId w:val="1"/>
        </w:numPr>
        <w:spacing w:after="100" w:line="280"/>
      </w:pPr>
      <w:r>
        <w:rPr>
          <w:rFonts w:ascii="Calibri" w:cs="Calibri" w:eastAsia="Calibri" w:hAnsi="Calibri"/>
          <w:b/>
          <w:bCs/>
          <w:sz w:val="22"/>
          <w:szCs w:val="22"/>
        </w:rPr>
        <w:t xml:space="preserve">Prestatiemanagement</w:t>
      </w:r>
      <w:r>
        <w:rPr>
          <w:rFonts w:ascii="Calibri" w:cs="Calibri" w:eastAsia="Calibri" w:hAnsi="Calibri"/>
          <w:sz w:val="22"/>
          <w:szCs w:val="22"/>
        </w:rPr>
        <w:t xml:space="preserve"> — doelen en beoordelingscriteria voor medewerkers meebewegen met de nieuwe werkwijze, zodat mensen niet worden afgerekend op een oude manier van werken terwijl van hen een nieuwe wordt verwacht.</w:t>
      </w:r>
    </w:p>
    <w:p>
      <w:pPr>
        <w:spacing w:after="140" w:line="300"/>
      </w:pPr>
      <w:r>
        <w:rPr>
          <w:rFonts w:ascii="Calibri" w:cs="Calibri" w:eastAsia="Calibri" w:hAnsi="Calibri"/>
          <w:sz w:val="22"/>
          <w:szCs w:val="22"/>
        </w:rPr>
        <w:t xml:space="preserve">Dit sluit direct aan bij het politieke spanningsveld uit deel 19: adoptie mislukt zelden puur door gebrek aan communicatie — vaker doordat een of meer van deze vijf instrumenten ontbreekt, met name prestatiemanagement en procesaanpassingen die niet zijn meebewogen.</w:t>
      </w:r>
    </w:p>
    <w:p>
      <w:pPr>
        <w:pStyle w:val="Heading2"/>
        <w:spacing w:after="120" w:before="200"/>
      </w:pPr>
      <w:r>
        <w:rPr>
          <w:rFonts w:ascii="Georgia" w:cs="Georgia" w:eastAsia="Georgia" w:hAnsi="Georgia"/>
          <w:b/>
          <w:bCs/>
          <w:color w:val="2563A8"/>
          <w:sz w:val="28"/>
          <w:szCs w:val="28"/>
        </w:rPr>
        <w:t xml:space="preserve">5. Batenrealisatie actief bewaken</w:t>
      </w:r>
    </w:p>
    <w:p>
      <w:pPr>
        <w:spacing w:after="140" w:line="300"/>
      </w:pPr>
      <w:r>
        <w:rPr>
          <w:rFonts w:ascii="Calibri" w:cs="Calibri" w:eastAsia="Calibri" w:hAnsi="Calibri"/>
          <w:sz w:val="22"/>
          <w:szCs w:val="22"/>
        </w:rPr>
        <w:t xml:space="preserve">De benefit profiles uit deel 12 worden tijdens Embed the Outcomes actief gevolgd: realiseert de baat zich zoals voorspeld? Zodra een bedreiging voor een baat zichtbaar wordt — bijvoorbeeld: een nieuwe werkwijze wordt slecht opgevolgd, of een verwachte kostenbesparing blijft uit — wordt dit </w:t>
      </w:r>
      <w:r>
        <w:rPr>
          <w:rFonts w:ascii="Calibri" w:cs="Calibri" w:eastAsia="Calibri" w:hAnsi="Calibri"/>
          <w:b/>
          <w:bCs/>
          <w:sz w:val="22"/>
          <w:szCs w:val="22"/>
        </w:rPr>
        <w:t xml:space="preserve">vroeg geëscaleerd</w:t>
      </w:r>
      <w:r>
        <w:rPr>
          <w:rFonts w:ascii="Calibri" w:cs="Calibri" w:eastAsia="Calibri" w:hAnsi="Calibri"/>
          <w:sz w:val="22"/>
          <w:szCs w:val="22"/>
        </w:rPr>
        <w:t xml:space="preserve">, niet pas bij de eerstvolgende formele review. Dit is dezelfde logica als bij issues op projectniveau (niveau 1, deel 5): hoe eerder gesignaleerd, hoe kleiner de benodigde correctie.</w:t>
      </w:r>
    </w:p>
    <w:p>
      <w:pPr>
        <w:pStyle w:val="Heading2"/>
        <w:spacing w:after="120" w:before="200"/>
      </w:pPr>
      <w:r>
        <w:rPr>
          <w:rFonts w:ascii="Georgia" w:cs="Georgia" w:eastAsia="Georgia" w:hAnsi="Georgia"/>
          <w:b/>
          <w:bCs/>
          <w:color w:val="2563A8"/>
          <w:sz w:val="28"/>
          <w:szCs w:val="28"/>
        </w:rPr>
        <w:t xml:space="preserve">6. Overdracht bij Closing the Programme</w:t>
      </w:r>
    </w:p>
    <w:p>
      <w:pPr>
        <w:spacing w:after="140" w:line="300"/>
      </w:pPr>
      <w:r>
        <w:rPr>
          <w:rFonts w:ascii="Calibri" w:cs="Calibri" w:eastAsia="Calibri" w:hAnsi="Calibri"/>
          <w:sz w:val="22"/>
          <w:szCs w:val="22"/>
        </w:rPr>
        <w:t xml:space="preserve">Bij de afsluiting van het programma (deel 11, §7) wordt expliciet bevestigd dat de </w:t>
      </w:r>
      <w:r>
        <w:rPr>
          <w:rFonts w:ascii="Calibri" w:cs="Calibri" w:eastAsia="Calibri" w:hAnsi="Calibri"/>
          <w:b/>
          <w:bCs/>
          <w:sz w:val="22"/>
          <w:szCs w:val="22"/>
        </w:rPr>
        <w:t xml:space="preserve">verantwoordelijkheid voor batenrealisatie overgaat naar de staande organisatie</w:t>
      </w:r>
      <w:r>
        <w:rPr>
          <w:rFonts w:ascii="Calibri" w:cs="Calibri" w:eastAsia="Calibri" w:hAnsi="Calibri"/>
          <w:sz w:val="22"/>
          <w:szCs w:val="22"/>
        </w:rPr>
        <w:t xml:space="preserve"> — meestal naar de lijnmanager van het bedrijfsonderdeel waar de baat landt. Dit is de programmatische tegenhanger van wat niveau 1 (deel 8, §5) al op projectniveau beschreef bij Closing a Project: een bijgewerkte batenbeheeraanpak die vastlegt welke batenreviews na afsluiting nog moeten plaatsvinden. Op programmaniveau is dit zwaarder: er zijn vaak meerdere baten, met verschillende eigenaren, verspreid over meerdere bedrijfsonderdelen, die stuk voor stuk een duidelijke, benoemde opvolger nodig hebben zodra de programmaorganisatie ophoudt te bestaan.</w:t>
      </w:r>
    </w:p>
    <w:p>
      <w:pPr>
        <w:pStyle w:val="Heading2"/>
        <w:spacing w:after="120" w:before="200"/>
      </w:pPr>
      <w:r>
        <w:rPr>
          <w:rFonts w:ascii="Georgia" w:cs="Georgia" w:eastAsia="Georgia" w:hAnsi="Georgia"/>
          <w:b/>
          <w:bCs/>
          <w:color w:val="2563A8"/>
          <w:sz w:val="28"/>
          <w:szCs w:val="28"/>
        </w:rPr>
        <w:t xml:space="preserve">7. Batenerosie: het stille risico</w:t>
      </w:r>
    </w:p>
    <w:p>
      <w:pPr>
        <w:spacing w:after="140" w:line="300"/>
      </w:pPr>
      <w:r>
        <w:rPr>
          <w:rFonts w:ascii="Calibri" w:cs="Calibri" w:eastAsia="Calibri" w:hAnsi="Calibri"/>
          <w:sz w:val="22"/>
          <w:szCs w:val="22"/>
        </w:rPr>
        <w:t xml:space="preserve">Zelfs een baat die aantoonbaar is gerealiseerd op het moment van programma-afsluiting, kan daarna </w:t>
      </w:r>
      <w:r>
        <w:rPr>
          <w:rFonts w:ascii="Calibri" w:cs="Calibri" w:eastAsia="Calibri" w:hAnsi="Calibri"/>
          <w:b/>
          <w:bCs/>
          <w:sz w:val="22"/>
          <w:szCs w:val="22"/>
        </w:rPr>
        <w:t xml:space="preserve">wegzakken</w:t>
      </w:r>
      <w:r>
        <w:rPr>
          <w:rFonts w:ascii="Calibri" w:cs="Calibri" w:eastAsia="Calibri" w:hAnsi="Calibri"/>
          <w:sz w:val="22"/>
          <w:szCs w:val="22"/>
        </w:rPr>
        <w:t xml:space="preserve"> — </w:t>
      </w:r>
      <w:r>
        <w:rPr>
          <w:rFonts w:ascii="Calibri" w:cs="Calibri" w:eastAsia="Calibri" w:hAnsi="Calibri"/>
          <w:b/>
          <w:bCs/>
          <w:sz w:val="22"/>
          <w:szCs w:val="22"/>
        </w:rPr>
        <w:t xml:space="preserve">batenerosie</w:t>
      </w:r>
      <w:r>
        <w:rPr>
          <w:rFonts w:ascii="Calibri" w:cs="Calibri" w:eastAsia="Calibri" w:hAnsi="Calibri"/>
          <w:sz w:val="22"/>
          <w:szCs w:val="22"/>
        </w:rPr>
        <w:t xml:space="preserve">. Typische oorzaken:</w:t>
      </w:r>
    </w:p>
    <w:p>
      <w:pPr>
        <w:pStyle w:val="ListParagraph"/>
        <w:numPr>
          <w:ilvl w:val="0"/>
          <w:numId w:val="1"/>
        </w:numPr>
        <w:spacing w:after="100" w:line="280"/>
      </w:pPr>
      <w:r>
        <w:rPr>
          <w:rFonts w:ascii="Calibri" w:cs="Calibri" w:eastAsia="Calibri" w:hAnsi="Calibri"/>
          <w:sz w:val="22"/>
          <w:szCs w:val="22"/>
        </w:rPr>
        <w:t xml:space="preserve">Mensen vervallen, zonder actieve tegendruk, terug in oude gewoontes zodra de aandacht van het programma wegvalt.</w:t>
      </w:r>
    </w:p>
    <w:p>
      <w:pPr>
        <w:pStyle w:val="ListParagraph"/>
        <w:numPr>
          <w:ilvl w:val="0"/>
          <w:numId w:val="1"/>
        </w:numPr>
        <w:spacing w:after="100" w:line="280"/>
      </w:pPr>
      <w:r>
        <w:rPr>
          <w:rFonts w:ascii="Calibri" w:cs="Calibri" w:eastAsia="Calibri" w:hAnsi="Calibri"/>
          <w:sz w:val="22"/>
          <w:szCs w:val="22"/>
        </w:rPr>
        <w:t xml:space="preserve">Prioriteiten verschuiven elders in de organisatie, waardoor niemand meer actief op de baat stuurt.</w:t>
      </w:r>
    </w:p>
    <w:p>
      <w:pPr>
        <w:pStyle w:val="ListParagraph"/>
        <w:numPr>
          <w:ilvl w:val="0"/>
          <w:numId w:val="1"/>
        </w:numPr>
        <w:spacing w:after="100" w:line="280"/>
      </w:pPr>
      <w:r>
        <w:rPr>
          <w:rFonts w:ascii="Calibri" w:cs="Calibri" w:eastAsia="Calibri" w:hAnsi="Calibri"/>
          <w:sz w:val="22"/>
          <w:szCs w:val="22"/>
        </w:rPr>
        <w:t xml:space="preserve">Er is na afsluiting geen duidelijke eigenaar meer — de baat "hoort bij niemand" nu de BCM en programmamanager zijn vertrokken.</w:t>
      </w:r>
    </w:p>
    <w:p>
      <w:pPr>
        <w:spacing w:after="140" w:line="300"/>
      </w:pPr>
      <w:r>
        <w:rPr>
          <w:rFonts w:ascii="Calibri" w:cs="Calibri" w:eastAsia="Calibri" w:hAnsi="Calibri"/>
          <w:sz w:val="22"/>
          <w:szCs w:val="22"/>
        </w:rPr>
        <w:t xml:space="preserve">Batenerosie voorkom je niet door harder te hopen dat het goed blijft gaan, maar door </w:t>
      </w:r>
      <w:r>
        <w:rPr>
          <w:rFonts w:ascii="Calibri" w:cs="Calibri" w:eastAsia="Calibri" w:hAnsi="Calibri"/>
          <w:b/>
          <w:bCs/>
          <w:sz w:val="22"/>
          <w:szCs w:val="22"/>
        </w:rPr>
        <w:t xml:space="preserve">structureel</w:t>
      </w:r>
      <w:r>
        <w:rPr>
          <w:rFonts w:ascii="Calibri" w:cs="Calibri" w:eastAsia="Calibri" w:hAnsi="Calibri"/>
          <w:sz w:val="22"/>
          <w:szCs w:val="22"/>
        </w:rPr>
        <w:t xml:space="preserve">: post-programma batenreviews die daadwerkelijk zijn ingepland (niet vrijblijvend), een expliciete eigenaar in de lijnorganisatie die formeel verantwoordelijk is (niet alleen "belanghebbende"), en prestatie-indicatoren die de baat blijven meten, ook lang nadat het programma zelf niet meer bestaat.</w:t>
      </w:r>
    </w:p>
    <w:p>
      <w:pPr>
        <w:pStyle w:val="Heading2"/>
        <w:spacing w:after="120" w:before="200"/>
      </w:pPr>
      <w:r>
        <w:rPr>
          <w:rFonts w:ascii="Georgia" w:cs="Georgia" w:eastAsia="Georgia" w:hAnsi="Georgia"/>
          <w:b/>
          <w:bCs/>
          <w:color w:val="2563A8"/>
          <w:sz w:val="28"/>
          <w:szCs w:val="28"/>
        </w:rPr>
        <w:t xml:space="preserve">8. Toegepast op het Programma Mutatieplatform</w:t>
      </w:r>
    </w:p>
    <w:p>
      <w:pPr>
        <w:spacing w:after="140" w:line="300"/>
      </w:pPr>
      <w:r>
        <w:rPr>
          <w:rFonts w:ascii="Calibri" w:cs="Calibri" w:eastAsia="Calibri" w:hAnsi="Calibri"/>
          <w:sz w:val="22"/>
          <w:szCs w:val="22"/>
        </w:rPr>
        <w:t xml:space="preserve">Bij de afsluiting van het Programma Mutatieplatform wordt de verantwoordelijkheid voor de gerealiseerde doorlooptijdhalvering (deel 12, §8) overgedragen aan het hoofd Klantcontact, met een expliciete afspraak: elk kwartaal wordt de doorlooptijd gemeten en gerapporteerd, ook jaren na afsluiting van het programma. Zonder die afspraak is het reëel denkbaar dat de doorlooptijd langzaam weer oploopt zodra de aandacht verslapt — bijvoorbeeld doordat nieuwe medewerkers niet meer actief worden getraind op de nieuwe werkwijze, of doordat de validatieregels na verloop van tijd verouderen zonder onderhoud.</w:t>
      </w:r>
    </w:p>
    <w:p>
      <w:pPr>
        <w:pStyle w:val="Heading2"/>
        <w:spacing w:after="120" w:before="200"/>
      </w:pPr>
      <w:r>
        <w:rPr>
          <w:rFonts w:ascii="Georgia" w:cs="Georgia" w:eastAsia="Georgia" w:hAnsi="Georgia"/>
          <w:b/>
          <w:bCs/>
          <w:color w:val="2563A8"/>
          <w:sz w:val="28"/>
          <w:szCs w:val="28"/>
        </w:rPr>
        <w:t xml:space="preserve">9. Vooruitblik</w:t>
      </w:r>
    </w:p>
    <w:p>
      <w:pPr>
        <w:spacing w:after="140" w:line="300"/>
      </w:pPr>
      <w:r>
        <w:rPr>
          <w:rFonts w:ascii="Calibri" w:cs="Calibri" w:eastAsia="Calibri" w:hAnsi="Calibri"/>
          <w:sz w:val="22"/>
          <w:szCs w:val="22"/>
        </w:rPr>
        <w:t xml:space="preserve">Deel 22, het laatste deel van niveau 2, combineert examentraining voor PRINCE2 Practitioner en MSP Foundation met een capstone waarin het Programma Mutatieplatform als geheel wordt verdedigd voor de sponsoring group.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21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2026-08-17T07:42:34.336Z</dcterms:created>
  <dcterms:modified xsi:type="dcterms:W3CDTF">2026-08-17T07:42:34.337Z</dcterms:modified>
</cp:coreProperties>
</file>

<file path=docProps/custom.xml><?xml version="1.0" encoding="utf-8"?>
<Properties xmlns="http://schemas.openxmlformats.org/officeDocument/2006/custom-properties" xmlns:vt="http://schemas.openxmlformats.org/officeDocument/2006/docPropsVTypes"/>
</file>