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22 — Examentraining en capstone: het programma verdedigd (twee dagdelen)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Dagdelen:</w:t>
      </w:r>
      <w:r>
        <w:rPr>
          <w:rFonts w:ascii="Calibri" w:cs="Calibri" w:eastAsia="Calibri" w:hAnsi="Calibri"/>
          <w:sz w:val="22"/>
          <w:szCs w:val="22"/>
        </w:rPr>
        <w:t xml:space="preserve"> 22a en 22b (deel 12 van niveau 2, twee dagdelen — afsluiting van het niveau)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 per dagdeel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niveau 2 afsluiten met dezelfde balans als deel 10 in niveau 1 — kennis (proefexamen) én toepassing (capstone) — maar nu met de extra complexiteit van twee methoden (PRINCE2 en MSP) die correct naast elkaar moeten worden toegepast.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— Dagdeel 22a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Examenformats PRINCE2 Practitioner, MSP Foundation, IPMA-C herhaald (reader §2–4)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0:20–0:40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Drie klassieke examenvallen op niveau 2 (reader §5)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Proefexamen (20 vragen, 25 minuten onder tijdsdruk)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Nabespreking proefexamen, nadruk op de vragen die de drie vallen raken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Introductie capstone-opdracht en rubric (reader §6–7)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 groepswerk: programmadossier samenstellen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Groepswerk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— Dagdeel 22b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Afronden groepswerk, onderlinge oefenbevraging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Groepswerk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resterend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Verdedigingen: 25–30 minuten per groep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Rollenspel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laatste 15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Klassikale terugblik op de hele boog van niveau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Besteed bij de nabespreking van het proefexamen extra tijd aan vragen 4, 6, 7 en 9</w:t>
      </w:r>
      <w:r>
        <w:rPr>
          <w:rFonts w:ascii="Calibri" w:cs="Calibri" w:eastAsia="Calibri" w:hAnsi="Calibri"/>
          <w:sz w:val="22"/>
          <w:szCs w:val="22"/>
        </w:rPr>
        <w:t xml:space="preserve"> — deze testen direct de drie examenvallen uit reader §5 (rolverwarring MSP/PRINCE2, business case-verschil, governanceniveau, tranchelogica).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Instrueer de sponsoring group-spelende groepen vooraf expres op het onderscheid project-/programmaniveau.</w:t>
      </w:r>
      <w:r>
        <w:rPr>
          <w:rFonts w:ascii="Calibri" w:cs="Calibri" w:eastAsia="Calibri" w:hAnsi="Calibri"/>
          <w:sz w:val="22"/>
          <w:szCs w:val="22"/>
        </w:rPr>
        <w:t xml:space="preserve"> Geef ze de voorbeeldvragen uit reader §6 als uitgangspunt, en moedig ze aan zelf vervolgvragen te bedenken die specifiek testen of de presenterende groep PRINCE2- en MSP-concepten correct uit elkaar houdt.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de capstone is criterium 2 van de rubric (correcte toepassing van MSP en PRINCE2 naast elkaar) het onderscheidende criterium van dit niveau ten opzichte van de capstone in niveau 1.</w:t>
      </w:r>
      <w:r>
        <w:rPr>
          <w:rFonts w:ascii="Calibri" w:cs="Calibri" w:eastAsia="Calibri" w:hAnsi="Calibri"/>
          <w:sz w:val="22"/>
          <w:szCs w:val="22"/>
        </w:rPr>
        <w:t xml:space="preserve"> Beoordeel hier strenger dan op de andere criteria — dit is precies de vaardigheid die het hele niveau 2 heeft willen opbouwen.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Reserveer, net als in deel 10, de laatste vijftien minuten expliciet voor de terugblik op de hele boog van niveau 2 (reader §8).</w:t>
      </w:r>
      <w:r>
        <w:rPr>
          <w:rFonts w:ascii="Calibri" w:cs="Calibri" w:eastAsia="Calibri" w:hAnsi="Calibri"/>
          <w:sz w:val="22"/>
          <w:szCs w:val="22"/>
        </w:rPr>
        <w:t xml:space="preserve"> Dit is het moment waarop de opbouw van MSP naast PRINCE2 als geheel landt.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Antwoordsleutel proefexamen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B — een gedeelde, strategische uitkomst die geen project alleen kan realiseren.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 — themes.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 — align with priorities.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B — de Business Change Manager, namens de SRO.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C — een business change (de keten loopt enabler → business change → intermediate benefit → end benefit).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B — samengesteld uit meerdere documenten, herijkt bij tranche-overgangen.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B — de sponsoring group richt; de Programme Board stuurt de levering aan.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B — Processes/Organization/Technology/Information.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B — een betekenisvolle stapverandering, geen willekeurige opdeling.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B — tijd en kosten.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B — de geschiktheid van de omgeving voor agile, via zes sliders.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B — capaciteitsafhankelijkheid.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B — verschillende voortgangsdefinities en maateenheden tussen agile en traditionele projecten.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C — de derde lijn, volledig onafhankelijk van het management.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B — het assessmentgesprek met praktijkbewijs.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B — MoP kiest welke initiatieven de moeite waard zijn — "de juiste dingen doen".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C — een hub-portfoliokantoor is permanent; programma- en projectkantoren zijn tijdelijk.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B — Awareness/Repeatable/Defined/Managed/Optimised.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B — het geleidelijk wegzakken van gerealiseerde baten zonder actieve borging.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B — een aangewezen verantwoordelijke in de staande organisatie.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Omrekening</w:t>
      </w:r>
      <w:r>
        <w:rPr>
          <w:rFonts w:ascii="Calibri" w:cs="Calibri" w:eastAsia="Calibri" w:hAnsi="Calibri"/>
          <w:sz w:val="22"/>
          <w:szCs w:val="22"/>
        </w:rPr>
        <w:t xml:space="preserve">: 12 van de 20 vragen goed komt overeen met de 60%-grens van zowel PRINCE2 Practitioner als MSP Foundation.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De beoordelingsrubric in detail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Criterium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Onvoldoende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Voldoende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Uitstekend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Samenhang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Onderdelen spreken elkaar tegen (bijv. blueprint ≠ tranches)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Grotendeels consistent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Expliciete kruisverwijzingen tussen alle onderdelen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MSP/PRINCE2 correct naast elkaar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Rollen of niveaus door elkaar gehaald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Grotendeels correct toegepast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Vlot en foutloos, ook onder kritische bevraging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Omgang met onzekerheid/aggregatie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Geaggregeerde risico's/EVM niet herkend als apart van projectniveau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Redelijk onderscheiden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Overtuigend, met expliciete aannames benoemd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Verdediging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Ontwijkend, onduidelijke rolverdeling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Adequate antwoorden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Besluitvaardig, legt het "waarom" helder uit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"Moeten we voor de capstone ook daadwerkelijk EVM-cijfers berekenen?"</w:t>
      </w:r>
      <w:r>
        <w:rPr>
          <w:rFonts w:ascii="Calibri" w:cs="Calibri" w:eastAsia="Calibri" w:hAnsi="Calibri"/>
          <w:sz w:val="22"/>
          <w:szCs w:val="22"/>
        </w:rPr>
        <w:t xml:space="preserve"> Niet verplicht, maar een groep die het wél doet (voortbouwend op deel 9 en 17) en correct kan uitleggen wat de cijfers betekenen, scoort sterker op criterium 3.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"Wat als onze groep het oneens is over de tranche-indeling die we eerder in deel 15 hebben gemaakt?"</w:t>
      </w:r>
      <w:r>
        <w:rPr>
          <w:rFonts w:ascii="Calibri" w:cs="Calibri" w:eastAsia="Calibri" w:hAnsi="Calibri"/>
          <w:sz w:val="22"/>
          <w:szCs w:val="22"/>
        </w:rPr>
        <w:t xml:space="preserve"> Dat mag — gebruik de discussie om de argumentatie voor de uiteindelijke keuze aan te scherpen; een goed beargumenteerde keuze, ook als die van de oorspronkelijke afwijkt, is sterker dan een onbesproken herhaling van eerder werk.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22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2026-08-17T07:43:39.915Z</dcterms:created>
  <dcterms:modified xsi:type="dcterms:W3CDTF">2026-08-17T07:43:39.915Z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