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22 — Examentraining en capstone: het programma verdedigd (twee dagdelen)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Het laatste deel van niveau 2</w:t>
      </w:r>
    </w:p>
    <w:p>
      <w:pPr>
        <w:spacing w:after="140" w:line="300"/>
      </w:pPr>
      <w:r>
        <w:rPr>
          <w:rFonts w:ascii="Calibri" w:cs="Calibri" w:eastAsia="Calibri" w:hAnsi="Calibri"/>
          <w:sz w:val="22"/>
          <w:szCs w:val="22"/>
        </w:rPr>
        <w:t xml:space="preserve">Dit deel combineert, over twee dagdelen, examentraining voor </w:t>
      </w:r>
      <w:r>
        <w:rPr>
          <w:rFonts w:ascii="Calibri" w:cs="Calibri" w:eastAsia="Calibri" w:hAnsi="Calibri"/>
          <w:b/>
          <w:bCs/>
          <w:sz w:val="22"/>
          <w:szCs w:val="22"/>
        </w:rPr>
        <w:t xml:space="preserve">PRINCE2 7 Practitioner</w:t>
      </w:r>
      <w:r>
        <w:rPr>
          <w:rFonts w:ascii="Calibri" w:cs="Calibri" w:eastAsia="Calibri" w:hAnsi="Calibri"/>
          <w:sz w:val="22"/>
          <w:szCs w:val="22"/>
        </w:rPr>
        <w:t xml:space="preserve"> en </w:t>
      </w:r>
      <w:r>
        <w:rPr>
          <w:rFonts w:ascii="Calibri" w:cs="Calibri" w:eastAsia="Calibri" w:hAnsi="Calibri"/>
          <w:b/>
          <w:bCs/>
          <w:sz w:val="22"/>
          <w:szCs w:val="22"/>
        </w:rPr>
        <w:t xml:space="preserve">MSP 5e editie Foundation</w:t>
      </w:r>
      <w:r>
        <w:rPr>
          <w:rFonts w:ascii="Calibri" w:cs="Calibri" w:eastAsia="Calibri" w:hAnsi="Calibri"/>
          <w:sz w:val="22"/>
          <w:szCs w:val="22"/>
        </w:rPr>
        <w:t xml:space="preserve"> (met een herhaling van het IPMA-C-toetsformat, deel 19) met de </w:t>
      </w:r>
      <w:r>
        <w:rPr>
          <w:rFonts w:ascii="Calibri" w:cs="Calibri" w:eastAsia="Calibri" w:hAnsi="Calibri"/>
          <w:b/>
          <w:bCs/>
          <w:sz w:val="22"/>
          <w:szCs w:val="22"/>
        </w:rPr>
        <w:t xml:space="preserve">capstone</w:t>
      </w:r>
      <w:r>
        <w:rPr>
          <w:rFonts w:ascii="Calibri" w:cs="Calibri" w:eastAsia="Calibri" w:hAnsi="Calibri"/>
          <w:sz w:val="22"/>
          <w:szCs w:val="22"/>
        </w:rPr>
        <w:t xml:space="preserve">: het volledige Programma Mutatieplatform — business case, governance, blueprint, tranches, risico's, batenrealisatie — opgesteld en verdedigd voor een sponsoring group.</w:t>
      </w:r>
    </w:p>
    <w:p>
      <w:pPr>
        <w:pStyle w:val="Heading2"/>
        <w:spacing w:after="120" w:before="200"/>
      </w:pPr>
      <w:r>
        <w:rPr>
          <w:rFonts w:ascii="Georgia" w:cs="Georgia" w:eastAsia="Georgia" w:hAnsi="Georgia"/>
          <w:b/>
          <w:bCs/>
          <w:color w:val="2563A8"/>
          <w:sz w:val="28"/>
          <w:szCs w:val="28"/>
        </w:rPr>
        <w:t xml:space="preserve">2. Examenformat: PRINCE2 7 Practitioner</w:t>
      </w:r>
    </w:p>
    <w:p>
      <w:pPr>
        <w:pStyle w:val="ListParagraph"/>
        <w:numPr>
          <w:ilvl w:val="0"/>
          <w:numId w:val="1"/>
        </w:numPr>
        <w:spacing w:after="100" w:line="280"/>
      </w:pPr>
      <w:r>
        <w:rPr>
          <w:rFonts w:ascii="Calibri" w:cs="Calibri" w:eastAsia="Calibri" w:hAnsi="Calibri"/>
          <w:b/>
          <w:bCs/>
          <w:sz w:val="22"/>
          <w:szCs w:val="22"/>
        </w:rPr>
        <w:t xml:space="preserve">70 scenariovragen</w:t>
      </w:r>
      <w:r>
        <w:rPr>
          <w:rFonts w:ascii="Calibri" w:cs="Calibri" w:eastAsia="Calibri" w:hAnsi="Calibri"/>
          <w:sz w:val="22"/>
          <w:szCs w:val="22"/>
        </w:rPr>
        <w:t xml:space="preserve"> in </w:t>
      </w:r>
      <w:r>
        <w:rPr>
          <w:rFonts w:ascii="Calibri" w:cs="Calibri" w:eastAsia="Calibri" w:hAnsi="Calibri"/>
          <w:b/>
          <w:bCs/>
          <w:sz w:val="22"/>
          <w:szCs w:val="22"/>
        </w:rPr>
        <w:t xml:space="preserve">150 minuten</w:t>
      </w:r>
      <w:r>
        <w:rPr>
          <w:rFonts w:ascii="Calibri" w:cs="Calibri" w:eastAsia="Calibri" w:hAnsi="Calibri"/>
          <w:sz w:val="22"/>
          <w:szCs w:val="22"/>
        </w:rPr>
        <w:t xml:space="preserve">, </w:t>
      </w:r>
      <w:r>
        <w:rPr>
          <w:rFonts w:ascii="Calibri" w:cs="Calibri" w:eastAsia="Calibri" w:hAnsi="Calibri"/>
          <w:b/>
          <w:bCs/>
          <w:sz w:val="22"/>
          <w:szCs w:val="22"/>
        </w:rPr>
        <w:t xml:space="preserve">open boek</w:t>
      </w:r>
      <w:r>
        <w:rPr>
          <w:rFonts w:ascii="Calibri" w:cs="Calibri" w:eastAsia="Calibri" w:hAnsi="Calibri"/>
          <w:sz w:val="22"/>
          <w:szCs w:val="22"/>
        </w:rPr>
        <w:t xml:space="preserve"> — alleen de officiële PRINCE2 7-manual is toegestaan, geen andere bronnen.</w:t>
      </w:r>
    </w:p>
    <w:p>
      <w:pPr>
        <w:pStyle w:val="ListParagraph"/>
        <w:numPr>
          <w:ilvl w:val="0"/>
          <w:numId w:val="1"/>
        </w:numPr>
        <w:spacing w:after="100" w:line="280"/>
      </w:pPr>
      <w:r>
        <w:rPr>
          <w:rFonts w:ascii="Calibri" w:cs="Calibri" w:eastAsia="Calibri" w:hAnsi="Calibri"/>
          <w:b/>
          <w:bCs/>
          <w:sz w:val="22"/>
          <w:szCs w:val="22"/>
        </w:rPr>
        <w:t xml:space="preserve">Pas grens: 60%</w:t>
      </w:r>
      <w:r>
        <w:rPr>
          <w:rFonts w:ascii="Calibri" w:cs="Calibri" w:eastAsia="Calibri" w:hAnsi="Calibri"/>
          <w:sz w:val="22"/>
          <w:szCs w:val="22"/>
        </w:rPr>
        <w:t xml:space="preserve"> — minimaal 42 van de 70 vragen goed.</w:t>
      </w:r>
    </w:p>
    <w:p>
      <w:pPr>
        <w:pStyle w:val="ListParagraph"/>
        <w:numPr>
          <w:ilvl w:val="0"/>
          <w:numId w:val="1"/>
        </w:numPr>
        <w:spacing w:after="100" w:line="280"/>
      </w:pPr>
      <w:r>
        <w:rPr>
          <w:rFonts w:ascii="Calibri" w:cs="Calibri" w:eastAsia="Calibri" w:hAnsi="Calibri"/>
          <w:sz w:val="22"/>
          <w:szCs w:val="22"/>
        </w:rPr>
        <w:t xml:space="preserve">Anders dan Foundation (niveau 1, deel 10) toetst Practitioner </w:t>
      </w:r>
      <w:r>
        <w:rPr>
          <w:rFonts w:ascii="Calibri" w:cs="Calibri" w:eastAsia="Calibri" w:hAnsi="Calibri"/>
          <w:b/>
          <w:bCs/>
          <w:sz w:val="22"/>
          <w:szCs w:val="22"/>
        </w:rPr>
        <w:t xml:space="preserve">toepassing en tailoring</w:t>
      </w:r>
      <w:r>
        <w:rPr>
          <w:rFonts w:ascii="Calibri" w:cs="Calibri" w:eastAsia="Calibri" w:hAnsi="Calibri"/>
          <w:sz w:val="22"/>
          <w:szCs w:val="22"/>
        </w:rPr>
        <w:t xml:space="preserve">, niet reproductie: vragen zijn gebonden aan een uitgebreid scenario (vaak een van vier standaardscenario's uit de officiële manual), en je moet PRINCE2 daarop toepassen, niet uit het hoofd citeren. Gewichtsverdeling ongeveer: practices 51%, processen 30%, principes 10%, People-aspect 9%.</w:t>
      </w:r>
    </w:p>
    <w:p>
      <w:pPr>
        <w:pStyle w:val="ListParagraph"/>
        <w:numPr>
          <w:ilvl w:val="0"/>
          <w:numId w:val="1"/>
        </w:numPr>
        <w:spacing w:after="100" w:line="280"/>
      </w:pPr>
      <w:r>
        <w:rPr>
          <w:rFonts w:ascii="Calibri" w:cs="Calibri" w:eastAsia="Calibri" w:hAnsi="Calibri"/>
          <w:sz w:val="22"/>
          <w:szCs w:val="22"/>
        </w:rPr>
        <w:t xml:space="preserve">Foundation (of een gelijkwaardige kwalificatie, niveau 1 deel 1 §5) is een verplichte voorwaarde.</w:t>
      </w:r>
    </w:p>
    <w:p>
      <w:pPr>
        <w:pStyle w:val="Heading2"/>
        <w:spacing w:after="120" w:before="200"/>
      </w:pPr>
      <w:r>
        <w:rPr>
          <w:rFonts w:ascii="Georgia" w:cs="Georgia" w:eastAsia="Georgia" w:hAnsi="Georgia"/>
          <w:b/>
          <w:bCs/>
          <w:color w:val="2563A8"/>
          <w:sz w:val="28"/>
          <w:szCs w:val="28"/>
        </w:rPr>
        <w:t xml:space="preserve">3. Examenformat: MSP 5e editie Foundation</w:t>
      </w:r>
    </w:p>
    <w:p>
      <w:pPr>
        <w:pStyle w:val="ListParagraph"/>
        <w:numPr>
          <w:ilvl w:val="0"/>
          <w:numId w:val="1"/>
        </w:numPr>
        <w:spacing w:after="100" w:line="280"/>
      </w:pPr>
      <w:r>
        <w:rPr>
          <w:rFonts w:ascii="Calibri" w:cs="Calibri" w:eastAsia="Calibri" w:hAnsi="Calibri"/>
          <w:b/>
          <w:bCs/>
          <w:sz w:val="22"/>
          <w:szCs w:val="22"/>
        </w:rPr>
        <w:t xml:space="preserve">60 meerkeuzevragen</w:t>
      </w:r>
      <w:r>
        <w:rPr>
          <w:rFonts w:ascii="Calibri" w:cs="Calibri" w:eastAsia="Calibri" w:hAnsi="Calibri"/>
          <w:sz w:val="22"/>
          <w:szCs w:val="22"/>
        </w:rPr>
        <w:t xml:space="preserve"> in </w:t>
      </w:r>
      <w:r>
        <w:rPr>
          <w:rFonts w:ascii="Calibri" w:cs="Calibri" w:eastAsia="Calibri" w:hAnsi="Calibri"/>
          <w:b/>
          <w:bCs/>
          <w:sz w:val="22"/>
          <w:szCs w:val="22"/>
        </w:rPr>
        <w:t xml:space="preserve">60 minuten</w:t>
      </w:r>
      <w:r>
        <w:rPr>
          <w:rFonts w:ascii="Calibri" w:cs="Calibri" w:eastAsia="Calibri" w:hAnsi="Calibri"/>
          <w:sz w:val="22"/>
          <w:szCs w:val="22"/>
        </w:rPr>
        <w:t xml:space="preserve">, </w:t>
      </w:r>
      <w:r>
        <w:rPr>
          <w:rFonts w:ascii="Calibri" w:cs="Calibri" w:eastAsia="Calibri" w:hAnsi="Calibri"/>
          <w:b/>
          <w:bCs/>
          <w:sz w:val="22"/>
          <w:szCs w:val="22"/>
        </w:rPr>
        <w:t xml:space="preserve">closed book</w:t>
      </w:r>
      <w:r>
        <w:rPr>
          <w:rFonts w:ascii="Calibri" w:cs="Calibri" w:eastAsia="Calibri" w:hAnsi="Calibri"/>
          <w:sz w:val="22"/>
          <w:szCs w:val="22"/>
        </w:rPr>
        <w:t xml:space="preserve"> — hetzelfde format als PRINCE2 Foundation (niveau 1, deel 10), nu toegepast op MSP-inhoud: principes, themes en processen.</w:t>
      </w:r>
    </w:p>
    <w:p>
      <w:pPr>
        <w:pStyle w:val="ListParagraph"/>
        <w:numPr>
          <w:ilvl w:val="0"/>
          <w:numId w:val="1"/>
        </w:numPr>
        <w:spacing w:after="100" w:line="280"/>
      </w:pPr>
      <w:r>
        <w:rPr>
          <w:rFonts w:ascii="Calibri" w:cs="Calibri" w:eastAsia="Calibri" w:hAnsi="Calibri"/>
          <w:b/>
          <w:bCs/>
          <w:sz w:val="22"/>
          <w:szCs w:val="22"/>
        </w:rPr>
        <w:t xml:space="preserve">Pas grens: 60%</w:t>
      </w:r>
      <w:r>
        <w:rPr>
          <w:rFonts w:ascii="Calibri" w:cs="Calibri" w:eastAsia="Calibri" w:hAnsi="Calibri"/>
          <w:sz w:val="22"/>
          <w:szCs w:val="22"/>
        </w:rPr>
        <w:t xml:space="preserve"> (36 van de 60).</w:t>
      </w:r>
    </w:p>
    <w:p>
      <w:pPr>
        <w:pStyle w:val="ListParagraph"/>
        <w:numPr>
          <w:ilvl w:val="0"/>
          <w:numId w:val="1"/>
        </w:numPr>
        <w:spacing w:after="100" w:line="280"/>
      </w:pPr>
      <w:r>
        <w:rPr>
          <w:rFonts w:ascii="Calibri" w:cs="Calibri" w:eastAsia="Calibri" w:hAnsi="Calibri"/>
          <w:sz w:val="22"/>
          <w:szCs w:val="22"/>
        </w:rPr>
        <w:t xml:space="preserve">Geen prerequisites — MSP Foundation staat op zichzelf.</w:t>
      </w:r>
    </w:p>
    <w:p>
      <w:pPr>
        <w:pStyle w:val="Heading2"/>
        <w:spacing w:after="120" w:before="200"/>
      </w:pPr>
      <w:r>
        <w:rPr>
          <w:rFonts w:ascii="Georgia" w:cs="Georgia" w:eastAsia="Georgia" w:hAnsi="Georgia"/>
          <w:b/>
          <w:bCs/>
          <w:color w:val="2563A8"/>
          <w:sz w:val="28"/>
          <w:szCs w:val="28"/>
        </w:rPr>
        <w:t xml:space="preserve">4. IPMA-C: ter herinnering</w:t>
      </w:r>
    </w:p>
    <w:p>
      <w:pPr>
        <w:spacing w:after="140" w:line="300"/>
      </w:pPr>
      <w:r>
        <w:rPr>
          <w:rFonts w:ascii="Calibri" w:cs="Calibri" w:eastAsia="Calibri" w:hAnsi="Calibri"/>
          <w:sz w:val="22"/>
          <w:szCs w:val="22"/>
        </w:rPr>
        <w:t xml:space="preserve">Zoals in deel 19 behandeld: IPMA-C combineert een schriftelijk deel met een </w:t>
      </w:r>
      <w:r>
        <w:rPr>
          <w:rFonts w:ascii="Calibri" w:cs="Calibri" w:eastAsia="Calibri" w:hAnsi="Calibri"/>
          <w:b/>
          <w:bCs/>
          <w:sz w:val="22"/>
          <w:szCs w:val="22"/>
        </w:rPr>
        <w:t xml:space="preserve">assessmentgesprek</w:t>
      </w:r>
      <w:r>
        <w:rPr>
          <w:rFonts w:ascii="Calibri" w:cs="Calibri" w:eastAsia="Calibri" w:hAnsi="Calibri"/>
          <w:sz w:val="22"/>
          <w:szCs w:val="22"/>
        </w:rPr>
        <w:t xml:space="preserve">, waarin aantoonbare praktijkervaring wordt getoetst — geen theoretische scenario's, maar eigen, doorleefde situaties. De capstone in dit deel is daarmee niet alleen oefening voor PRINCE2 en MSP, maar ook een goede voorbereiding op het soort verdediging dat een IPMA-C-assessor zou verwachten: kunnen uitleggen wát je hebt gedaan en waaróm, onder kritische bevraging.</w:t>
      </w:r>
    </w:p>
    <w:p>
      <w:pPr>
        <w:pStyle w:val="Heading2"/>
        <w:spacing w:after="120" w:before="200"/>
      </w:pPr>
      <w:r>
        <w:rPr>
          <w:rFonts w:ascii="Georgia" w:cs="Georgia" w:eastAsia="Georgia" w:hAnsi="Georgia"/>
          <w:b/>
          <w:bCs/>
          <w:color w:val="2563A8"/>
          <w:sz w:val="28"/>
          <w:szCs w:val="28"/>
        </w:rPr>
        <w:t xml:space="preserve">5. Drie klassieke examenvallen op niveau 2</w:t>
      </w:r>
    </w:p>
    <w:p>
      <w:pPr>
        <w:spacing w:after="140" w:line="300"/>
      </w:pPr>
      <w:r>
        <w:rPr>
          <w:rFonts w:ascii="Calibri" w:cs="Calibri" w:eastAsia="Calibri" w:hAnsi="Calibri"/>
          <w:sz w:val="22"/>
          <w:szCs w:val="22"/>
        </w:rPr>
        <w:t xml:space="preserve">Naast de drie vallen uit niveau 1 (deel 10, §2 — principe vs. practice/proces, tijd- vs. gebeurtenisgedreven, issue vs. risico), komen op programmaniveau drie nieuwe vallen vaak terug:</w:t>
      </w:r>
    </w:p>
    <w:p>
      <w:pPr>
        <w:pStyle w:val="ListParagraph"/>
        <w:numPr>
          <w:ilvl w:val="0"/>
          <w:numId w:val="1"/>
        </w:numPr>
        <w:spacing w:after="100" w:line="280"/>
      </w:pPr>
      <w:r>
        <w:rPr>
          <w:rFonts w:ascii="Calibri" w:cs="Calibri" w:eastAsia="Calibri" w:hAnsi="Calibri"/>
          <w:b/>
          <w:bCs/>
          <w:sz w:val="22"/>
          <w:szCs w:val="22"/>
        </w:rPr>
        <w:t xml:space="preserve">Projecttolerantie versus programmatolerantie door elkaar halen.</w:t>
      </w:r>
      <w:r>
        <w:rPr>
          <w:rFonts w:ascii="Calibri" w:cs="Calibri" w:eastAsia="Calibri" w:hAnsi="Calibri"/>
          <w:sz w:val="22"/>
          <w:szCs w:val="22"/>
        </w:rPr>
        <w:t xml:space="preserve"> Een projecttolerantie (niveau 1, deel 6) wordt binnen één project bewaakt door de projectmanager; een programmatolerantie (deel 13, 17) wordt op geaggregeerd niveau bewaakt door de Programme Board. Een overschrijding op projectniveau hoeft niet automatisch een programmatolerantie te raken, en omgekeerd.</w:t>
      </w:r>
    </w:p>
    <w:p>
      <w:pPr>
        <w:pStyle w:val="ListParagraph"/>
        <w:numPr>
          <w:ilvl w:val="0"/>
          <w:numId w:val="1"/>
        </w:numPr>
        <w:spacing w:after="100" w:line="280"/>
      </w:pPr>
      <w:r>
        <w:rPr>
          <w:rFonts w:ascii="Calibri" w:cs="Calibri" w:eastAsia="Calibri" w:hAnsi="Calibri"/>
          <w:b/>
          <w:bCs/>
          <w:sz w:val="22"/>
          <w:szCs w:val="22"/>
        </w:rPr>
        <w:t xml:space="preserve">Tranche Review verwarren met Managing a Stage Boundary.</w:t>
      </w:r>
      <w:r>
        <w:rPr>
          <w:rFonts w:ascii="Calibri" w:cs="Calibri" w:eastAsia="Calibri" w:hAnsi="Calibri"/>
          <w:sz w:val="22"/>
          <w:szCs w:val="22"/>
        </w:rPr>
        <w:t xml:space="preserve"> Beide zijn overgangsmomenten met een go/no-go-karakter, maar op verschillend niveau: een Tranche Review (deel 15) beoordeelt het hele programma bij een tranche-overgang; Managing a Stage Boundary (niveau 1, deel 8) beoordeelt één project bij een faseovergang. Een project kan door meerdere faseovergangen gaan binnen één tranche.</w:t>
      </w:r>
    </w:p>
    <w:p>
      <w:pPr>
        <w:pStyle w:val="ListParagraph"/>
        <w:numPr>
          <w:ilvl w:val="0"/>
          <w:numId w:val="1"/>
        </w:numPr>
        <w:spacing w:after="100" w:line="280"/>
      </w:pPr>
      <w:r>
        <w:rPr>
          <w:rFonts w:ascii="Calibri" w:cs="Calibri" w:eastAsia="Calibri" w:hAnsi="Calibri"/>
          <w:b/>
          <w:bCs/>
          <w:sz w:val="22"/>
          <w:szCs w:val="22"/>
        </w:rPr>
        <w:t xml:space="preserve">MSP-rollen met PRINCE2-rollen verwisselen.</w:t>
      </w:r>
      <w:r>
        <w:rPr>
          <w:rFonts w:ascii="Calibri" w:cs="Calibri" w:eastAsia="Calibri" w:hAnsi="Calibri"/>
          <w:sz w:val="22"/>
          <w:szCs w:val="22"/>
        </w:rPr>
        <w:t xml:space="preserve"> De SRO is niet "de Executive van het programma" — het is een aparte rol met een andere reikwijdte (deel 14, §3). De Business Change Manager heeft helemaal geen PRINCE2-equivalent (deel 11, §6). Dit is de meest voorkomende foutbron in MSP-examens voor kandidaten die net van PRINCE2 komen.</w:t>
      </w:r>
    </w:p>
    <w:p>
      <w:pPr>
        <w:pStyle w:val="Heading2"/>
        <w:spacing w:after="120" w:before="200"/>
      </w:pPr>
      <w:r>
        <w:rPr>
          <w:rFonts w:ascii="Georgia" w:cs="Georgia" w:eastAsia="Georgia" w:hAnsi="Georgia"/>
          <w:b/>
          <w:bCs/>
          <w:color w:val="2563A8"/>
          <w:sz w:val="28"/>
          <w:szCs w:val="28"/>
        </w:rPr>
        <w:t xml:space="preserve">6. De capstone-opdracht: het Programma Mutatieplatform verdedigd</w:t>
      </w:r>
    </w:p>
    <w:p>
      <w:pPr>
        <w:spacing w:after="140" w:line="300"/>
      </w:pPr>
      <w:r>
        <w:rPr>
          <w:rFonts w:ascii="Calibri" w:cs="Calibri" w:eastAsia="Calibri" w:hAnsi="Calibri"/>
          <w:b/>
          <w:bCs/>
          <w:sz w:val="22"/>
          <w:szCs w:val="22"/>
        </w:rPr>
        <w:t xml:space="preserve">De opdracht.</w:t>
      </w:r>
      <w:r>
        <w:rPr>
          <w:rFonts w:ascii="Calibri" w:cs="Calibri" w:eastAsia="Calibri" w:hAnsi="Calibri"/>
          <w:sz w:val="22"/>
          <w:szCs w:val="22"/>
        </w:rPr>
        <w:t xml:space="preserve"> In groepen van circa vier stelt elke groep de kern van het Programma Mutatieplatform samen, gebruikmakend van het werk uit deel 11 tot en met 21, en verdedigt dit voor een </w:t>
      </w:r>
      <w:r>
        <w:rPr>
          <w:rFonts w:ascii="Calibri" w:cs="Calibri" w:eastAsia="Calibri" w:hAnsi="Calibri"/>
          <w:b/>
          <w:bCs/>
          <w:sz w:val="22"/>
          <w:szCs w:val="22"/>
        </w:rPr>
        <w:t xml:space="preserve">sponsoring group</w:t>
      </w:r>
      <w:r>
        <w:rPr>
          <w:rFonts w:ascii="Calibri" w:cs="Calibri" w:eastAsia="Calibri" w:hAnsi="Calibri"/>
          <w:sz w:val="22"/>
          <w:szCs w:val="22"/>
        </w:rPr>
        <w:t xml:space="preserve"> — gespeeld door een andere groep of de docent.</w:t>
      </w:r>
    </w:p>
    <w:p>
      <w:pPr>
        <w:spacing w:after="140" w:line="300"/>
      </w:pPr>
      <w:r>
        <w:rPr>
          <w:rFonts w:ascii="Calibri" w:cs="Calibri" w:eastAsia="Calibri" w:hAnsi="Calibri"/>
          <w:b/>
          <w:bCs/>
          <w:sz w:val="22"/>
          <w:szCs w:val="22"/>
        </w:rPr>
        <w:t xml:space="preserve">Wat het programmadossier moet bevatten:</w:t>
      </w:r>
    </w:p>
    <w:p>
      <w:pPr>
        <w:pStyle w:val="ListParagraph"/>
        <w:numPr>
          <w:ilvl w:val="0"/>
          <w:numId w:val="1"/>
        </w:numPr>
        <w:spacing w:after="100" w:line="280"/>
      </w:pPr>
      <w:r>
        <w:rPr>
          <w:rFonts w:ascii="Calibri" w:cs="Calibri" w:eastAsia="Calibri" w:hAnsi="Calibri"/>
          <w:sz w:val="22"/>
          <w:szCs w:val="22"/>
        </w:rPr>
        <w:t xml:space="preserve">Een korte </w:t>
      </w:r>
      <w:r>
        <w:rPr>
          <w:rFonts w:ascii="Calibri" w:cs="Calibri" w:eastAsia="Calibri" w:hAnsi="Calibri"/>
          <w:b/>
          <w:bCs/>
          <w:sz w:val="22"/>
          <w:szCs w:val="22"/>
        </w:rPr>
        <w:t xml:space="preserve">vision statement</w:t>
      </w:r>
      <w:r>
        <w:rPr>
          <w:rFonts w:ascii="Calibri" w:cs="Calibri" w:eastAsia="Calibri" w:hAnsi="Calibri"/>
          <w:sz w:val="22"/>
          <w:szCs w:val="22"/>
        </w:rPr>
        <w:t xml:space="preserve"> en </w:t>
      </w:r>
      <w:r>
        <w:rPr>
          <w:rFonts w:ascii="Calibri" w:cs="Calibri" w:eastAsia="Calibri" w:hAnsi="Calibri"/>
          <w:b/>
          <w:bCs/>
          <w:sz w:val="22"/>
          <w:szCs w:val="22"/>
        </w:rPr>
        <w:t xml:space="preserve">blueprint</w:t>
      </w:r>
      <w:r>
        <w:rPr>
          <w:rFonts w:ascii="Calibri" w:cs="Calibri" w:eastAsia="Calibri" w:hAnsi="Calibri"/>
          <w:sz w:val="22"/>
          <w:szCs w:val="22"/>
        </w:rPr>
        <w:t xml:space="preserve"> (POTI-model) met gap-analyse (deel 15).</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benefits map</w:t>
      </w:r>
      <w:r>
        <w:rPr>
          <w:rFonts w:ascii="Calibri" w:cs="Calibri" w:eastAsia="Calibri" w:hAnsi="Calibri"/>
          <w:sz w:val="22"/>
          <w:szCs w:val="22"/>
        </w:rPr>
        <w:t xml:space="preserve"> en minstens twee uitgewerkte </w:t>
      </w:r>
      <w:r>
        <w:rPr>
          <w:rFonts w:ascii="Calibri" w:cs="Calibri" w:eastAsia="Calibri" w:hAnsi="Calibri"/>
          <w:b/>
          <w:bCs/>
          <w:sz w:val="22"/>
          <w:szCs w:val="22"/>
        </w:rPr>
        <w:t xml:space="preserve">benefit profiles</w:t>
      </w:r>
      <w:r>
        <w:rPr>
          <w:rFonts w:ascii="Calibri" w:cs="Calibri" w:eastAsia="Calibri" w:hAnsi="Calibri"/>
          <w:sz w:val="22"/>
          <w:szCs w:val="22"/>
        </w:rPr>
        <w:t xml:space="preserve"> (deel 12).</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programmatische business case</w:t>
      </w:r>
      <w:r>
        <w:rPr>
          <w:rFonts w:ascii="Calibri" w:cs="Calibri" w:eastAsia="Calibri" w:hAnsi="Calibri"/>
          <w:sz w:val="22"/>
          <w:szCs w:val="22"/>
        </w:rPr>
        <w:t xml:space="preserve">, met expliciete verwijzing naar de vijf bouwstenen (deel 13).</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governancestructuur</w:t>
      </w:r>
      <w:r>
        <w:rPr>
          <w:rFonts w:ascii="Calibri" w:cs="Calibri" w:eastAsia="Calibri" w:hAnsi="Calibri"/>
          <w:sz w:val="22"/>
          <w:szCs w:val="22"/>
        </w:rPr>
        <w:t xml:space="preserve">: sponsoring group, Programme Board (SRO, programmamanager, BCM's), Programme Office (deel 14).</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tranche-indeling</w:t>
      </w:r>
      <w:r>
        <w:rPr>
          <w:rFonts w:ascii="Calibri" w:cs="Calibri" w:eastAsia="Calibri" w:hAnsi="Calibri"/>
          <w:sz w:val="22"/>
          <w:szCs w:val="22"/>
        </w:rPr>
        <w:t xml:space="preserve"> met motivatie (deel 15).</w:t>
      </w:r>
    </w:p>
    <w:p>
      <w:pPr>
        <w:pStyle w:val="ListParagraph"/>
        <w:numPr>
          <w:ilvl w:val="0"/>
          <w:numId w:val="1"/>
        </w:numPr>
        <w:spacing w:after="100" w:line="280"/>
      </w:pPr>
      <w:r>
        <w:rPr>
          <w:rFonts w:ascii="Calibri" w:cs="Calibri" w:eastAsia="Calibri" w:hAnsi="Calibri"/>
          <w:sz w:val="22"/>
          <w:szCs w:val="22"/>
        </w:rPr>
        <w:t xml:space="preserve">Per project een gemotiveerde </w:t>
      </w:r>
      <w:r>
        <w:rPr>
          <w:rFonts w:ascii="Calibri" w:cs="Calibri" w:eastAsia="Calibri" w:hAnsi="Calibri"/>
          <w:b/>
          <w:bCs/>
          <w:sz w:val="22"/>
          <w:szCs w:val="22"/>
        </w:rPr>
        <w:t xml:space="preserve">leveringsbenadering</w:t>
      </w:r>
      <w:r>
        <w:rPr>
          <w:rFonts w:ascii="Calibri" w:cs="Calibri" w:eastAsia="Calibri" w:hAnsi="Calibri"/>
          <w:sz w:val="22"/>
          <w:szCs w:val="22"/>
        </w:rPr>
        <w:t xml:space="preserve"> (voorspellend, agile, of hybride — deel 16).</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afhankelijkheidsoverzicht</w:t>
      </w:r>
      <w:r>
        <w:rPr>
          <w:rFonts w:ascii="Calibri" w:cs="Calibri" w:eastAsia="Calibri" w:hAnsi="Calibri"/>
          <w:sz w:val="22"/>
          <w:szCs w:val="22"/>
        </w:rPr>
        <w:t xml:space="preserve"> tussen de vijf projecten (deel 17).</w:t>
      </w:r>
    </w:p>
    <w:p>
      <w:pPr>
        <w:pStyle w:val="ListParagraph"/>
        <w:numPr>
          <w:ilvl w:val="0"/>
          <w:numId w:val="1"/>
        </w:numPr>
        <w:spacing w:after="100" w:line="280"/>
      </w:pPr>
      <w:r>
        <w:rPr>
          <w:rFonts w:ascii="Calibri" w:cs="Calibri" w:eastAsia="Calibri" w:hAnsi="Calibri"/>
          <w:sz w:val="22"/>
          <w:szCs w:val="22"/>
        </w:rPr>
        <w:t xml:space="preserve">De belangrijkste </w:t>
      </w:r>
      <w:r>
        <w:rPr>
          <w:rFonts w:ascii="Calibri" w:cs="Calibri" w:eastAsia="Calibri" w:hAnsi="Calibri"/>
          <w:b/>
          <w:bCs/>
          <w:sz w:val="22"/>
          <w:szCs w:val="22"/>
        </w:rPr>
        <w:t xml:space="preserve">geaggregeerde risico's</w:t>
      </w:r>
      <w:r>
        <w:rPr>
          <w:rFonts w:ascii="Calibri" w:cs="Calibri" w:eastAsia="Calibri" w:hAnsi="Calibri"/>
          <w:sz w:val="22"/>
          <w:szCs w:val="22"/>
        </w:rPr>
        <w:t xml:space="preserve"> en de assurance-opzet (deel 18).</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stakeholderanalyse</w:t>
      </w:r>
      <w:r>
        <w:rPr>
          <w:rFonts w:ascii="Calibri" w:cs="Calibri" w:eastAsia="Calibri" w:hAnsi="Calibri"/>
          <w:sz w:val="22"/>
          <w:szCs w:val="22"/>
        </w:rPr>
        <w:t xml:space="preserve"> inclusief minstens één coalitie (deel 19).</w:t>
      </w:r>
    </w:p>
    <w:p>
      <w:pPr>
        <w:pStyle w:val="ListParagraph"/>
        <w:numPr>
          <w:ilvl w:val="0"/>
          <w:numId w:val="1"/>
        </w:numPr>
        <w:spacing w:after="100" w:line="280"/>
      </w:pPr>
      <w:r>
        <w:rPr>
          <w:rFonts w:ascii="Calibri" w:cs="Calibri" w:eastAsia="Calibri" w:hAnsi="Calibri"/>
          <w:sz w:val="22"/>
          <w:szCs w:val="22"/>
        </w:rPr>
        <w:t xml:space="preserve">Een korte notitie over </w:t>
      </w:r>
      <w:r>
        <w:rPr>
          <w:rFonts w:ascii="Calibri" w:cs="Calibri" w:eastAsia="Calibri" w:hAnsi="Calibri"/>
          <w:b/>
          <w:bCs/>
          <w:sz w:val="22"/>
          <w:szCs w:val="22"/>
        </w:rPr>
        <w:t xml:space="preserve">P3O-inbedding</w:t>
      </w:r>
      <w:r>
        <w:rPr>
          <w:rFonts w:ascii="Calibri" w:cs="Calibri" w:eastAsia="Calibri" w:hAnsi="Calibri"/>
          <w:sz w:val="22"/>
          <w:szCs w:val="22"/>
        </w:rPr>
        <w:t xml:space="preserve">: welke ondersteuningsstructuur past bij dit programma (deel 20).</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overdrachtsplan</w:t>
      </w:r>
      <w:r>
        <w:rPr>
          <w:rFonts w:ascii="Calibri" w:cs="Calibri" w:eastAsia="Calibri" w:hAnsi="Calibri"/>
          <w:sz w:val="22"/>
          <w:szCs w:val="22"/>
        </w:rPr>
        <w:t xml:space="preserve"> voor batenrealisatie na afsluiting (deel 21).</w:t>
      </w:r>
    </w:p>
    <w:p>
      <w:pPr>
        <w:spacing w:after="140" w:line="300"/>
      </w:pPr>
      <w:r>
        <w:rPr>
          <w:rFonts w:ascii="Calibri" w:cs="Calibri" w:eastAsia="Calibri" w:hAnsi="Calibri"/>
          <w:b/>
          <w:bCs/>
          <w:sz w:val="22"/>
          <w:szCs w:val="22"/>
        </w:rPr>
        <w:t xml:space="preserve">De verdediging.</w:t>
      </w:r>
      <w:r>
        <w:rPr>
          <w:rFonts w:ascii="Calibri" w:cs="Calibri" w:eastAsia="Calibri" w:hAnsi="Calibri"/>
          <w:sz w:val="22"/>
          <w:szCs w:val="22"/>
        </w:rPr>
        <w:t xml:space="preserve"> 25 tot 30 minuten per groep: een korte presentatie, gevolgd door kritische bevraging door de sponsoring group. Typische vragen: "Waarom deze tranche-indeling en niet een andere?" "Wijs een geaggregeerd risico aan en leg uit hoe dat verschilt van een risico binnen één project." "Wie is, na afsluiting, verantwoordelijk als deze baat over twee jaar blijkt weg te zakken?"</w:t>
      </w:r>
    </w:p>
    <w:p>
      <w:pPr>
        <w:pStyle w:val="Heading2"/>
        <w:spacing w:after="120" w:before="200"/>
      </w:pPr>
      <w:r>
        <w:rPr>
          <w:rFonts w:ascii="Georgia" w:cs="Georgia" w:eastAsia="Georgia" w:hAnsi="Georgia"/>
          <w:b/>
          <w:bCs/>
          <w:color w:val="2563A8"/>
          <w:sz w:val="28"/>
          <w:szCs w:val="28"/>
        </w:rPr>
        <w:t xml:space="preserve">7. De beoordelingsrubric</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Samenhang tussen de programma-elementen</w:t>
      </w:r>
      <w:r>
        <w:rPr>
          <w:rFonts w:ascii="Calibri" w:cs="Calibri" w:eastAsia="Calibri" w:hAnsi="Calibri"/>
          <w:sz w:val="22"/>
          <w:szCs w:val="22"/>
        </w:rPr>
        <w:t xml:space="preserve"> — sluiten blueprint, business case, tranche-indeling en governance logisch op elkaar aan?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Correcte toepassing van MSP en PRINCE2 naast elkaar</w:t>
      </w:r>
      <w:r>
        <w:rPr>
          <w:rFonts w:ascii="Calibri" w:cs="Calibri" w:eastAsia="Calibri" w:hAnsi="Calibri"/>
          <w:sz w:val="22"/>
          <w:szCs w:val="22"/>
        </w:rPr>
        <w:t xml:space="preserve"> — worden beide methoden op de juiste plek en niveau ingezet, zonder rollen of concepten door elkaar te halen (§5)?</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Realistische omgang met onzekerheid en aggregatie</w:t>
      </w:r>
      <w:r>
        <w:rPr>
          <w:rFonts w:ascii="Calibri" w:cs="Calibri" w:eastAsia="Calibri" w:hAnsi="Calibri"/>
          <w:sz w:val="22"/>
          <w:szCs w:val="22"/>
        </w:rPr>
        <w:t xml:space="preserve"> — worden geaggregeerd risico, geaggregeerde EVM en tranche-herijking overtuigend en met de juiste voorzichtigheid gehanteerd?</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Overtuigende verdediging onder kritische bevraging</w:t>
      </w:r>
      <w:r>
        <w:rPr>
          <w:rFonts w:ascii="Calibri" w:cs="Calibri" w:eastAsia="Calibri" w:hAnsi="Calibri"/>
          <w:sz w:val="22"/>
          <w:szCs w:val="22"/>
        </w:rPr>
        <w:t xml:space="preserve"> — vergelijkbaar met wat een IPMA-C-assessor zou verwachten: kunnen uitleggen wát en waaróm, niet alleen wát.</w:t>
      </w:r>
    </w:p>
    <w:p>
      <w:pPr>
        <w:pStyle w:val="Heading2"/>
        <w:spacing w:after="120" w:before="200"/>
      </w:pPr>
      <w:r>
        <w:rPr>
          <w:rFonts w:ascii="Georgia" w:cs="Georgia" w:eastAsia="Georgia" w:hAnsi="Georgia"/>
          <w:b/>
          <w:bCs/>
          <w:color w:val="2563A8"/>
          <w:sz w:val="28"/>
          <w:szCs w:val="28"/>
        </w:rPr>
        <w:t xml:space="preserve">8. Terugblik: de boog van niveau 2</w:t>
      </w:r>
    </w:p>
    <w:p>
      <w:pPr>
        <w:pStyle w:val="ListParagraph"/>
        <w:numPr>
          <w:ilvl w:val="0"/>
          <w:numId w:val="1"/>
        </w:numPr>
        <w:spacing w:after="100" w:line="280"/>
      </w:pPr>
      <w:r>
        <w:rPr>
          <w:rFonts w:ascii="Calibri" w:cs="Calibri" w:eastAsia="Calibri" w:hAnsi="Calibri"/>
          <w:b/>
          <w:bCs/>
          <w:sz w:val="22"/>
          <w:szCs w:val="22"/>
        </w:rPr>
        <w:t xml:space="preserve">Deel 11</w:t>
      </w:r>
      <w:r>
        <w:rPr>
          <w:rFonts w:ascii="Calibri" w:cs="Calibri" w:eastAsia="Calibri" w:hAnsi="Calibri"/>
          <w:sz w:val="22"/>
          <w:szCs w:val="22"/>
        </w:rPr>
        <w:t xml:space="preserve">: van project naar programma, MSP geïntroduceerd.</w:t>
      </w:r>
    </w:p>
    <w:p>
      <w:pPr>
        <w:pStyle w:val="ListParagraph"/>
        <w:numPr>
          <w:ilvl w:val="0"/>
          <w:numId w:val="1"/>
        </w:numPr>
        <w:spacing w:after="100" w:line="280"/>
      </w:pPr>
      <w:r>
        <w:rPr>
          <w:rFonts w:ascii="Calibri" w:cs="Calibri" w:eastAsia="Calibri" w:hAnsi="Calibri"/>
          <w:b/>
          <w:bCs/>
          <w:sz w:val="22"/>
          <w:szCs w:val="22"/>
        </w:rPr>
        <w:t xml:space="preserve">Deel 12</w:t>
      </w:r>
      <w:r>
        <w:rPr>
          <w:rFonts w:ascii="Calibri" w:cs="Calibri" w:eastAsia="Calibri" w:hAnsi="Calibri"/>
          <w:sz w:val="22"/>
          <w:szCs w:val="22"/>
        </w:rPr>
        <w:t xml:space="preserve">: baten in kaart gebracht (benefits map, profiles).</w:t>
      </w:r>
    </w:p>
    <w:p>
      <w:pPr>
        <w:pStyle w:val="ListParagraph"/>
        <w:numPr>
          <w:ilvl w:val="0"/>
          <w:numId w:val="1"/>
        </w:numPr>
        <w:spacing w:after="100" w:line="280"/>
      </w:pPr>
      <w:r>
        <w:rPr>
          <w:rFonts w:ascii="Calibri" w:cs="Calibri" w:eastAsia="Calibri" w:hAnsi="Calibri"/>
          <w:b/>
          <w:bCs/>
          <w:sz w:val="22"/>
          <w:szCs w:val="22"/>
        </w:rPr>
        <w:t xml:space="preserve">Deel 13</w:t>
      </w:r>
      <w:r>
        <w:rPr>
          <w:rFonts w:ascii="Calibri" w:cs="Calibri" w:eastAsia="Calibri" w:hAnsi="Calibri"/>
          <w:sz w:val="22"/>
          <w:szCs w:val="22"/>
        </w:rPr>
        <w:t xml:space="preserve">: de programmatische business case.</w:t>
      </w:r>
    </w:p>
    <w:p>
      <w:pPr>
        <w:pStyle w:val="ListParagraph"/>
        <w:numPr>
          <w:ilvl w:val="0"/>
          <w:numId w:val="1"/>
        </w:numPr>
        <w:spacing w:after="100" w:line="280"/>
      </w:pPr>
      <w:r>
        <w:rPr>
          <w:rFonts w:ascii="Calibri" w:cs="Calibri" w:eastAsia="Calibri" w:hAnsi="Calibri"/>
          <w:b/>
          <w:bCs/>
          <w:sz w:val="22"/>
          <w:szCs w:val="22"/>
        </w:rPr>
        <w:t xml:space="preserve">Deel 14</w:t>
      </w:r>
      <w:r>
        <w:rPr>
          <w:rFonts w:ascii="Calibri" w:cs="Calibri" w:eastAsia="Calibri" w:hAnsi="Calibri"/>
          <w:sz w:val="22"/>
          <w:szCs w:val="22"/>
        </w:rPr>
        <w:t xml:space="preserve">: governance — sponsoring group, Programme Board, BCM.</w:t>
      </w:r>
    </w:p>
    <w:p>
      <w:pPr>
        <w:pStyle w:val="ListParagraph"/>
        <w:numPr>
          <w:ilvl w:val="0"/>
          <w:numId w:val="1"/>
        </w:numPr>
        <w:spacing w:after="100" w:line="280"/>
      </w:pPr>
      <w:r>
        <w:rPr>
          <w:rFonts w:ascii="Calibri" w:cs="Calibri" w:eastAsia="Calibri" w:hAnsi="Calibri"/>
          <w:b/>
          <w:bCs/>
          <w:sz w:val="22"/>
          <w:szCs w:val="22"/>
        </w:rPr>
        <w:t xml:space="preserve">Deel 15</w:t>
      </w:r>
      <w:r>
        <w:rPr>
          <w:rFonts w:ascii="Calibri" w:cs="Calibri" w:eastAsia="Calibri" w:hAnsi="Calibri"/>
          <w:sz w:val="22"/>
          <w:szCs w:val="22"/>
        </w:rPr>
        <w:t xml:space="preserve">: blueprint en tranches.</w:t>
      </w:r>
    </w:p>
    <w:p>
      <w:pPr>
        <w:pStyle w:val="ListParagraph"/>
        <w:numPr>
          <w:ilvl w:val="0"/>
          <w:numId w:val="1"/>
        </w:numPr>
        <w:spacing w:after="100" w:line="280"/>
      </w:pPr>
      <w:r>
        <w:rPr>
          <w:rFonts w:ascii="Calibri" w:cs="Calibri" w:eastAsia="Calibri" w:hAnsi="Calibri"/>
          <w:b/>
          <w:bCs/>
          <w:sz w:val="22"/>
          <w:szCs w:val="22"/>
        </w:rPr>
        <w:t xml:space="preserve">Deel 16</w:t>
      </w:r>
      <w:r>
        <w:rPr>
          <w:rFonts w:ascii="Calibri" w:cs="Calibri" w:eastAsia="Calibri" w:hAnsi="Calibri"/>
          <w:sz w:val="22"/>
          <w:szCs w:val="22"/>
        </w:rPr>
        <w:t xml:space="preserve">: PRINCE2 Agile en hybride levering.</w:t>
      </w:r>
    </w:p>
    <w:p>
      <w:pPr>
        <w:pStyle w:val="ListParagraph"/>
        <w:numPr>
          <w:ilvl w:val="0"/>
          <w:numId w:val="1"/>
        </w:numPr>
        <w:spacing w:after="100" w:line="280"/>
      </w:pPr>
      <w:r>
        <w:rPr>
          <w:rFonts w:ascii="Calibri" w:cs="Calibri" w:eastAsia="Calibri" w:hAnsi="Calibri"/>
          <w:b/>
          <w:bCs/>
          <w:sz w:val="22"/>
          <w:szCs w:val="22"/>
        </w:rPr>
        <w:t xml:space="preserve">Deel 17</w:t>
      </w:r>
      <w:r>
        <w:rPr>
          <w:rFonts w:ascii="Calibri" w:cs="Calibri" w:eastAsia="Calibri" w:hAnsi="Calibri"/>
          <w:sz w:val="22"/>
          <w:szCs w:val="22"/>
        </w:rPr>
        <w:t xml:space="preserve">: planning en beheersing op schaal.</w:t>
      </w:r>
    </w:p>
    <w:p>
      <w:pPr>
        <w:pStyle w:val="ListParagraph"/>
        <w:numPr>
          <w:ilvl w:val="0"/>
          <w:numId w:val="1"/>
        </w:numPr>
        <w:spacing w:after="100" w:line="280"/>
      </w:pPr>
      <w:r>
        <w:rPr>
          <w:rFonts w:ascii="Calibri" w:cs="Calibri" w:eastAsia="Calibri" w:hAnsi="Calibri"/>
          <w:b/>
          <w:bCs/>
          <w:sz w:val="22"/>
          <w:szCs w:val="22"/>
        </w:rPr>
        <w:t xml:space="preserve">Deel 18</w:t>
      </w:r>
      <w:r>
        <w:rPr>
          <w:rFonts w:ascii="Calibri" w:cs="Calibri" w:eastAsia="Calibri" w:hAnsi="Calibri"/>
          <w:sz w:val="22"/>
          <w:szCs w:val="22"/>
        </w:rPr>
        <w:t xml:space="preserve">: risico's en issues over grenzen.</w:t>
      </w:r>
    </w:p>
    <w:p>
      <w:pPr>
        <w:pStyle w:val="ListParagraph"/>
        <w:numPr>
          <w:ilvl w:val="0"/>
          <w:numId w:val="1"/>
        </w:numPr>
        <w:spacing w:after="100" w:line="280"/>
      </w:pPr>
      <w:r>
        <w:rPr>
          <w:rFonts w:ascii="Calibri" w:cs="Calibri" w:eastAsia="Calibri" w:hAnsi="Calibri"/>
          <w:b/>
          <w:bCs/>
          <w:sz w:val="22"/>
          <w:szCs w:val="22"/>
        </w:rPr>
        <w:t xml:space="preserve">Deel 19</w:t>
      </w:r>
      <w:r>
        <w:rPr>
          <w:rFonts w:ascii="Calibri" w:cs="Calibri" w:eastAsia="Calibri" w:hAnsi="Calibri"/>
          <w:sz w:val="22"/>
          <w:szCs w:val="22"/>
        </w:rPr>
        <w:t xml:space="preserve">: stakeholders, macht en politiek.</w:t>
      </w:r>
    </w:p>
    <w:p>
      <w:pPr>
        <w:pStyle w:val="ListParagraph"/>
        <w:numPr>
          <w:ilvl w:val="0"/>
          <w:numId w:val="1"/>
        </w:numPr>
        <w:spacing w:after="100" w:line="280"/>
      </w:pPr>
      <w:r>
        <w:rPr>
          <w:rFonts w:ascii="Calibri" w:cs="Calibri" w:eastAsia="Calibri" w:hAnsi="Calibri"/>
          <w:b/>
          <w:bCs/>
          <w:sz w:val="22"/>
          <w:szCs w:val="22"/>
        </w:rPr>
        <w:t xml:space="preserve">Deel 20</w:t>
      </w:r>
      <w:r>
        <w:rPr>
          <w:rFonts w:ascii="Calibri" w:cs="Calibri" w:eastAsia="Calibri" w:hAnsi="Calibri"/>
          <w:sz w:val="22"/>
          <w:szCs w:val="22"/>
        </w:rPr>
        <w:t xml:space="preserve">: PMO, P3O en portfoliovolwassenheid.</w:t>
      </w:r>
    </w:p>
    <w:p>
      <w:pPr>
        <w:pStyle w:val="ListParagraph"/>
        <w:numPr>
          <w:ilvl w:val="0"/>
          <w:numId w:val="1"/>
        </w:numPr>
        <w:spacing w:after="100" w:line="280"/>
      </w:pPr>
      <w:r>
        <w:rPr>
          <w:rFonts w:ascii="Calibri" w:cs="Calibri" w:eastAsia="Calibri" w:hAnsi="Calibri"/>
          <w:b/>
          <w:bCs/>
          <w:sz w:val="22"/>
          <w:szCs w:val="22"/>
        </w:rPr>
        <w:t xml:space="preserve">Deel 21</w:t>
      </w:r>
      <w:r>
        <w:rPr>
          <w:rFonts w:ascii="Calibri" w:cs="Calibri" w:eastAsia="Calibri" w:hAnsi="Calibri"/>
          <w:sz w:val="22"/>
          <w:szCs w:val="22"/>
        </w:rPr>
        <w:t xml:space="preserve">: batenrealisatie geborgd, na afsluiting.</w:t>
      </w:r>
    </w:p>
    <w:p>
      <w:pPr>
        <w:pStyle w:val="ListParagraph"/>
        <w:numPr>
          <w:ilvl w:val="0"/>
          <w:numId w:val="1"/>
        </w:numPr>
        <w:spacing w:after="100" w:line="280"/>
      </w:pPr>
      <w:r>
        <w:rPr>
          <w:rFonts w:ascii="Calibri" w:cs="Calibri" w:eastAsia="Calibri" w:hAnsi="Calibri"/>
          <w:b/>
          <w:bCs/>
          <w:sz w:val="22"/>
          <w:szCs w:val="22"/>
        </w:rPr>
        <w:t xml:space="preserve">Deel 22</w:t>
      </w:r>
      <w:r>
        <w:rPr>
          <w:rFonts w:ascii="Calibri" w:cs="Calibri" w:eastAsia="Calibri" w:hAnsi="Calibri"/>
          <w:sz w:val="22"/>
          <w:szCs w:val="22"/>
        </w:rPr>
        <w:t xml:space="preserve">: alles samengebracht, verdedigd.</w:t>
      </w:r>
    </w:p>
    <w:p>
      <w:pPr>
        <w:pStyle w:val="Heading2"/>
        <w:spacing w:after="120" w:before="200"/>
      </w:pPr>
      <w:r>
        <w:rPr>
          <w:rFonts w:ascii="Georgia" w:cs="Georgia" w:eastAsia="Georgia" w:hAnsi="Georgia"/>
          <w:b/>
          <w:bCs/>
          <w:color w:val="2563A8"/>
          <w:sz w:val="28"/>
          <w:szCs w:val="28"/>
        </w:rPr>
        <w:t xml:space="preserve">9. Vooruitblik</w:t>
      </w:r>
    </w:p>
    <w:p>
      <w:pPr>
        <w:spacing w:after="140" w:line="300"/>
      </w:pPr>
      <w:r>
        <w:rPr>
          <w:rFonts w:ascii="Calibri" w:cs="Calibri" w:eastAsia="Calibri" w:hAnsi="Calibri"/>
          <w:sz w:val="22"/>
          <w:szCs w:val="22"/>
        </w:rPr>
        <w:t xml:space="preserve">Niveau 3 verlegt de casus opnieuw: van het Programma Mutatieplatform naar de </w:t>
      </w:r>
      <w:r>
        <w:rPr>
          <w:rFonts w:ascii="Calibri" w:cs="Calibri" w:eastAsia="Calibri" w:hAnsi="Calibri"/>
          <w:b/>
          <w:bCs/>
          <w:sz w:val="22"/>
          <w:szCs w:val="22"/>
        </w:rPr>
        <w:t xml:space="preserve">Stelselovergang</w:t>
      </w:r>
      <w:r>
        <w:rPr>
          <w:rFonts w:ascii="Calibri" w:cs="Calibri" w:eastAsia="Calibri" w:hAnsi="Calibri"/>
          <w:sz w:val="22"/>
          <w:szCs w:val="22"/>
        </w:rPr>
        <w:t xml:space="preserve"> — de laatste fase van de wettelijke pensioentransitie (Wtp), onder toezicht van DNB en AFM, met MSP Practitioner en IPMA-B als certificeringsdoelen.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22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2026-08-17T07:43:39.838Z</dcterms:created>
  <dcterms:modified xsi:type="dcterms:W3CDTF">2026-08-17T07:43:39.838Z</dcterms:modified>
</cp:coreProperties>
</file>

<file path=docProps/custom.xml><?xml version="1.0" encoding="utf-8"?>
<Properties xmlns="http://schemas.openxmlformats.org/officeDocument/2006/custom-properties" xmlns:vt="http://schemas.openxmlformats.org/officeDocument/2006/docPropsVTypes"/>
</file>