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23 — Assessmentvaardigheid: IPMA-B-dossier en MSP-scenariotechniek</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Niveau 3: eerst vaardigheid, dan verdieping</w:t>
      </w:r>
    </w:p>
    <w:p>
      <w:pPr>
        <w:spacing w:after="140" w:line="300"/>
      </w:pPr>
      <w:r>
        <w:rPr>
          <w:rFonts w:ascii="Calibri" w:cs="Calibri" w:eastAsia="Calibri" w:hAnsi="Calibri"/>
          <w:sz w:val="22"/>
          <w:szCs w:val="22"/>
        </w:rPr>
        <w:t xml:space="preserve">Niveau 3 begint niet met nieuwe theorie, maar met </w:t>
      </w:r>
      <w:r>
        <w:rPr>
          <w:rFonts w:ascii="Calibri" w:cs="Calibri" w:eastAsia="Calibri" w:hAnsi="Calibri"/>
          <w:b/>
          <w:bCs/>
          <w:sz w:val="22"/>
          <w:szCs w:val="22"/>
        </w:rPr>
        <w:t xml:space="preserve">vaardigheid</w:t>
      </w:r>
      <w:r>
        <w:rPr>
          <w:rFonts w:ascii="Calibri" w:cs="Calibri" w:eastAsia="Calibri" w:hAnsi="Calibri"/>
          <w:sz w:val="22"/>
          <w:szCs w:val="22"/>
        </w:rPr>
        <w:t xml:space="preserve">: hoe bewijs je wat je kunt, op twee fundamenteel verschillende manieren? MSP Practitioner toetst via een scenario-examen (net als PRINCE2 Practitioner, niveau 2 deel 22); IPMA-B toetst via een </w:t>
      </w:r>
      <w:r>
        <w:rPr>
          <w:rFonts w:ascii="Calibri" w:cs="Calibri" w:eastAsia="Calibri" w:hAnsi="Calibri"/>
          <w:b/>
          <w:bCs/>
          <w:sz w:val="22"/>
          <w:szCs w:val="22"/>
        </w:rPr>
        <w:t xml:space="preserve">competentiedossier en een assessmentgesprek</w:t>
      </w:r>
      <w:r>
        <w:rPr>
          <w:rFonts w:ascii="Calibri" w:cs="Calibri" w:eastAsia="Calibri" w:hAnsi="Calibri"/>
          <w:sz w:val="22"/>
          <w:szCs w:val="22"/>
        </w:rPr>
        <w:t xml:space="preserve"> — geen examen in de klassieke zin, maar een beoordeling van wie je bent en wat je hebt gedaan. Beide vaardigheden worden in dit deel opgebouwd, vóórdat niveau 3 verdiept in de inhoudelijke thema's van de nieuwe casus.</w:t>
      </w:r>
    </w:p>
    <w:p>
      <w:pPr>
        <w:pStyle w:val="Heading2"/>
        <w:spacing w:after="120" w:before="200"/>
      </w:pPr>
      <w:r>
        <w:rPr>
          <w:rFonts w:ascii="Georgia" w:cs="Georgia" w:eastAsia="Georgia" w:hAnsi="Georgia"/>
          <w:b/>
          <w:bCs/>
          <w:color w:val="2563A8"/>
          <w:sz w:val="28"/>
          <w:szCs w:val="28"/>
        </w:rPr>
        <w:t xml:space="preserve">2. IPMA-B: het competentiedossier</w:t>
      </w:r>
    </w:p>
    <w:p>
      <w:pPr>
        <w:spacing w:after="140" w:line="300"/>
      </w:pPr>
      <w:r>
        <w:rPr>
          <w:rFonts w:ascii="Calibri" w:cs="Calibri" w:eastAsia="Calibri" w:hAnsi="Calibri"/>
          <w:b/>
          <w:bCs/>
          <w:sz w:val="22"/>
          <w:szCs w:val="22"/>
        </w:rPr>
        <w:t xml:space="preserve">Toelatingseis.</w:t>
      </w:r>
      <w:r>
        <w:rPr>
          <w:rFonts w:ascii="Calibri" w:cs="Calibri" w:eastAsia="Calibri" w:hAnsi="Calibri"/>
          <w:sz w:val="22"/>
          <w:szCs w:val="22"/>
        </w:rPr>
        <w:t xml:space="preserve"> Zoals in deel 1 (§5) al genoemd: het 8-5-3-principe — in de afgelopen acht jaar, vijf jaar projectmanagementervaring, waarvan drie jaar op IPMA B-niveau (het leiden van complexe projecten).</w:t>
      </w:r>
    </w:p>
    <w:p>
      <w:pPr>
        <w:spacing w:after="140" w:line="300"/>
      </w:pPr>
      <w:r>
        <w:rPr>
          <w:rFonts w:ascii="Calibri" w:cs="Calibri" w:eastAsia="Calibri" w:hAnsi="Calibri"/>
          <w:b/>
          <w:bCs/>
          <w:sz w:val="22"/>
          <w:szCs w:val="22"/>
        </w:rPr>
        <w:t xml:space="preserve">Twee documenten vormen de kern van de aanmelding:</w:t>
      </w:r>
    </w:p>
    <w:p>
      <w:pPr>
        <w:pStyle w:val="ListParagraph"/>
        <w:numPr>
          <w:ilvl w:val="0"/>
          <w:numId w:val="1"/>
        </w:numPr>
        <w:spacing w:after="100" w:line="280"/>
      </w:pPr>
      <w:r>
        <w:rPr>
          <w:rFonts w:ascii="Calibri" w:cs="Calibri" w:eastAsia="Calibri" w:hAnsi="Calibri"/>
          <w:b/>
          <w:bCs/>
          <w:sz w:val="22"/>
          <w:szCs w:val="22"/>
        </w:rPr>
        <w:t xml:space="preserve">Het referentiedocument</w:t>
      </w:r>
      <w:r>
        <w:rPr>
          <w:rFonts w:ascii="Calibri" w:cs="Calibri" w:eastAsia="Calibri" w:hAnsi="Calibri"/>
          <w:sz w:val="22"/>
          <w:szCs w:val="22"/>
        </w:rPr>
        <w:t xml:space="preserve"> — een overzicht van opleidingen, trainingen en werkervaring, aangevuld met een </w:t>
      </w:r>
      <w:r>
        <w:rPr>
          <w:rFonts w:ascii="Calibri" w:cs="Calibri" w:eastAsia="Calibri" w:hAnsi="Calibri"/>
          <w:b/>
          <w:bCs/>
          <w:sz w:val="22"/>
          <w:szCs w:val="22"/>
        </w:rPr>
        <w:t xml:space="preserve">zelfassessment</w:t>
      </w:r>
      <w:r>
        <w:rPr>
          <w:rFonts w:ascii="Calibri" w:cs="Calibri" w:eastAsia="Calibri" w:hAnsi="Calibri"/>
          <w:sz w:val="22"/>
          <w:szCs w:val="22"/>
        </w:rPr>
        <w:t xml:space="preserve"> op alle ICB4-competenties (niveau 1, deel 9, §1), en een lijst van projecten waarmee de ervaringseis wordt onderbouwd, elk voorzien van een </w:t>
      </w:r>
      <w:r>
        <w:rPr>
          <w:rFonts w:ascii="Calibri" w:cs="Calibri" w:eastAsia="Calibri" w:hAnsi="Calibri"/>
          <w:b/>
          <w:bCs/>
          <w:sz w:val="22"/>
          <w:szCs w:val="22"/>
        </w:rPr>
        <w:t xml:space="preserve">complexiteitsniveau</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Het projectrapport</w:t>
      </w:r>
      <w:r>
        <w:rPr>
          <w:rFonts w:ascii="Calibri" w:cs="Calibri" w:eastAsia="Calibri" w:hAnsi="Calibri"/>
          <w:sz w:val="22"/>
          <w:szCs w:val="22"/>
        </w:rPr>
        <w:t xml:space="preserve"> — de beschrijving van één project, afgerond binnen de afgelopen zes jaar, waarin de kandidaat </w:t>
      </w:r>
      <w:r>
        <w:rPr>
          <w:rFonts w:ascii="Calibri" w:cs="Calibri" w:eastAsia="Calibri" w:hAnsi="Calibri"/>
          <w:b/>
          <w:bCs/>
          <w:sz w:val="22"/>
          <w:szCs w:val="22"/>
        </w:rPr>
        <w:t xml:space="preserve">alle IPMA B-competenties</w:t>
      </w:r>
      <w:r>
        <w:rPr>
          <w:rFonts w:ascii="Calibri" w:cs="Calibri" w:eastAsia="Calibri" w:hAnsi="Calibri"/>
          <w:sz w:val="22"/>
          <w:szCs w:val="22"/>
        </w:rPr>
        <w:t xml:space="preserve"> aantoonbaar maakt. De eisen aan dit project zijn strikt: het moet zijn afgerond op het moment van aanmelding, de kandidaat moet er van begin tot eind projectmanager van zijn geweest, en het grootste deel ervan moet in de recente jaren hebben plaatsgevonden.</w:t>
      </w:r>
    </w:p>
    <w:p>
      <w:pPr>
        <w:spacing w:after="140" w:line="300"/>
      </w:pPr>
      <w:r>
        <w:rPr>
          <w:rFonts w:ascii="Calibri" w:cs="Calibri" w:eastAsia="Calibri" w:hAnsi="Calibri"/>
          <w:b/>
          <w:bCs/>
          <w:sz w:val="22"/>
          <w:szCs w:val="22"/>
        </w:rPr>
        <w:t xml:space="preserve">Complexiteit meten.</w:t>
      </w:r>
      <w:r>
        <w:rPr>
          <w:rFonts w:ascii="Calibri" w:cs="Calibri" w:eastAsia="Calibri" w:hAnsi="Calibri"/>
          <w:sz w:val="22"/>
          <w:szCs w:val="22"/>
        </w:rPr>
        <w:t xml:space="preserve"> IPMA hanteert twee soorten complexiteit om te beoordelen of een project zwaar genoeg is voor het beoogde niveau:</w:t>
      </w:r>
    </w:p>
    <w:p>
      <w:pPr>
        <w:pStyle w:val="ListParagraph"/>
        <w:numPr>
          <w:ilvl w:val="0"/>
          <w:numId w:val="1"/>
        </w:numPr>
        <w:spacing w:after="100" w:line="280"/>
      </w:pPr>
      <w:r>
        <w:rPr>
          <w:rFonts w:ascii="Calibri" w:cs="Calibri" w:eastAsia="Calibri" w:hAnsi="Calibri"/>
          <w:b/>
          <w:bCs/>
          <w:sz w:val="22"/>
          <w:szCs w:val="22"/>
        </w:rPr>
        <w:t xml:space="preserve">Output-gerelateerde complexiteit</w:t>
      </w:r>
      <w:r>
        <w:rPr>
          <w:rFonts w:ascii="Calibri" w:cs="Calibri" w:eastAsia="Calibri" w:hAnsi="Calibri"/>
          <w:sz w:val="22"/>
          <w:szCs w:val="22"/>
        </w:rPr>
        <w:t xml:space="preserve"> — ontstaat door vage, veeleisende of onderling tegenstrijdige doelen, eisen en verwachtingen.</w:t>
      </w:r>
    </w:p>
    <w:p>
      <w:pPr>
        <w:pStyle w:val="ListParagraph"/>
        <w:numPr>
          <w:ilvl w:val="0"/>
          <w:numId w:val="1"/>
        </w:numPr>
        <w:spacing w:after="100" w:line="280"/>
      </w:pPr>
      <w:r>
        <w:rPr>
          <w:rFonts w:ascii="Calibri" w:cs="Calibri" w:eastAsia="Calibri" w:hAnsi="Calibri"/>
          <w:b/>
          <w:bCs/>
          <w:sz w:val="22"/>
          <w:szCs w:val="22"/>
        </w:rPr>
        <w:t xml:space="preserve">Proces-gerelateerde complexiteit</w:t>
      </w:r>
      <w:r>
        <w:rPr>
          <w:rFonts w:ascii="Calibri" w:cs="Calibri" w:eastAsia="Calibri" w:hAnsi="Calibri"/>
          <w:sz w:val="22"/>
          <w:szCs w:val="22"/>
        </w:rPr>
        <w:t xml:space="preserve"> — ontstaat door het aantal taken, aannames en beperkingen en hun onderlinge afhankelijkheden, de te hanteren kwaliteitseisen, de omvang en communicatiestructuur van het team, en de beschikbaarheid van ondersteunende methoden en instrumenten.</w:t>
      </w:r>
    </w:p>
    <w:p>
      <w:pPr>
        <w:spacing w:after="140" w:line="300"/>
      </w:pPr>
      <w:r>
        <w:rPr>
          <w:rFonts w:ascii="Calibri" w:cs="Calibri" w:eastAsia="Calibri" w:hAnsi="Calibri"/>
          <w:sz w:val="22"/>
          <w:szCs w:val="22"/>
        </w:rPr>
        <w:t xml:space="preserve">Een project met een groot budget maar een simpele, eenduidige opdracht scoort op deze schaal vaak lager dan een klein project met tegenstrijdige stakeholderbelangen en veel onderlinge afhankelijkheden — complexiteit is dus geen synoniem voor omvang.</w:t>
      </w:r>
    </w:p>
    <w:p>
      <w:pPr>
        <w:spacing w:after="140" w:line="300"/>
      </w:pPr>
      <w:r>
        <w:rPr>
          <w:rFonts w:ascii="Calibri" w:cs="Calibri" w:eastAsia="Calibri" w:hAnsi="Calibri"/>
          <w:b/>
          <w:bCs/>
          <w:sz w:val="22"/>
          <w:szCs w:val="22"/>
        </w:rPr>
        <w:t xml:space="preserve">Het assessmentgesprek.</w:t>
      </w:r>
      <w:r>
        <w:rPr>
          <w:rFonts w:ascii="Calibri" w:cs="Calibri" w:eastAsia="Calibri" w:hAnsi="Calibri"/>
          <w:sz w:val="22"/>
          <w:szCs w:val="22"/>
        </w:rPr>
        <w:t xml:space="preserve"> Een interview van circa twee uur, met </w:t>
      </w:r>
      <w:r>
        <w:rPr>
          <w:rFonts w:ascii="Calibri" w:cs="Calibri" w:eastAsia="Calibri" w:hAnsi="Calibri"/>
          <w:b/>
          <w:bCs/>
          <w:sz w:val="22"/>
          <w:szCs w:val="22"/>
        </w:rPr>
        <w:t xml:space="preserve">twee assessoren</w:t>
      </w:r>
      <w:r>
        <w:rPr>
          <w:rFonts w:ascii="Calibri" w:cs="Calibri" w:eastAsia="Calibri" w:hAnsi="Calibri"/>
          <w:sz w:val="22"/>
          <w:szCs w:val="22"/>
        </w:rPr>
        <w:t xml:space="preserve"> tegelijk, die de competenties toetsen aan de hand van de ingeleverde documentatie. De kandidaat neemt aanvullend bewijsmateriaal mee (bijvoorbeeld een projectplan, PID, of offerte) om het projectrapport te onderbouwen.</w:t>
      </w:r>
    </w:p>
    <w:p>
      <w:pPr>
        <w:spacing w:after="140" w:line="300"/>
      </w:pPr>
      <w:r>
        <w:rPr>
          <w:rFonts w:ascii="Calibri" w:cs="Calibri" w:eastAsia="Calibri" w:hAnsi="Calibri"/>
          <w:b/>
          <w:bCs/>
          <w:sz w:val="22"/>
          <w:szCs w:val="22"/>
        </w:rPr>
        <w:t xml:space="preserve">Voorbereiding: van ervaring naar navertelbaar bewijs.</w:t>
      </w:r>
      <w:r>
        <w:rPr>
          <w:rFonts w:ascii="Calibri" w:cs="Calibri" w:eastAsia="Calibri" w:hAnsi="Calibri"/>
          <w:sz w:val="22"/>
          <w:szCs w:val="22"/>
        </w:rPr>
        <w:t xml:space="preserve"> De kern van een sterk assessmentgesprek is niet het opsommen van competenties, maar het per competentie kunnen vertellen van een </w:t>
      </w:r>
      <w:r>
        <w:rPr>
          <w:rFonts w:ascii="Calibri" w:cs="Calibri" w:eastAsia="Calibri" w:hAnsi="Calibri"/>
          <w:b/>
          <w:bCs/>
          <w:sz w:val="22"/>
          <w:szCs w:val="22"/>
        </w:rPr>
        <w:t xml:space="preserve">concreet, navertelbaar voorbeeld</w:t>
      </w:r>
      <w:r>
        <w:rPr>
          <w:rFonts w:ascii="Calibri" w:cs="Calibri" w:eastAsia="Calibri" w:hAnsi="Calibri"/>
          <w:sz w:val="22"/>
          <w:szCs w:val="22"/>
        </w:rPr>
        <w:t xml:space="preserve"> — een situatie, wat er van de kandidaat werd gevraagd, welke actie is ondernomen, en wat het resultaat was. Dit is dezelfde structuur als een sollicitatiegesprek gebaseerd op gedragsvragen, nu toegepast op 29 competenties in plaats van een handvol. Kandidaten die zich alleen voorbereiden door de theorie te herhalen, lopen vast zodra een assessor doorvraagt naar een specifiek moment — precies waar IPMA-C al voor waarschuwde (niveau 2, deel 19, §2), nu op een zwaarder niveau.</w:t>
      </w:r>
    </w:p>
    <w:p>
      <w:pPr>
        <w:pStyle w:val="Heading2"/>
        <w:spacing w:after="120" w:before="200"/>
      </w:pPr>
      <w:r>
        <w:rPr>
          <w:rFonts w:ascii="Georgia" w:cs="Georgia" w:eastAsia="Georgia" w:hAnsi="Georgia"/>
          <w:b/>
          <w:bCs/>
          <w:color w:val="2563A8"/>
          <w:sz w:val="28"/>
          <w:szCs w:val="28"/>
        </w:rPr>
        <w:t xml:space="preserve">3. MSP Practitioner: de scenariotechniek</w:t>
      </w:r>
    </w:p>
    <w:p>
      <w:pPr>
        <w:spacing w:after="140" w:line="300"/>
      </w:pPr>
      <w:r>
        <w:rPr>
          <w:rFonts w:ascii="Calibri" w:cs="Calibri" w:eastAsia="Calibri" w:hAnsi="Calibri"/>
          <w:sz w:val="22"/>
          <w:szCs w:val="22"/>
        </w:rPr>
        <w:t xml:space="preserve">Het examenformat is bekend uit niveau 2 (deel 22, §2): 70 scenariovragen, 150 minuten, open boek, 60%. De vaardigheid die dit vereist, is anders dan bij Foundation (kennis reproduceren): een MSP Practitioner-scenario beschrijft een uitgebreide, fictieve programmasituatie, en de vragen toetsen of je </w:t>
      </w:r>
      <w:r>
        <w:rPr>
          <w:rFonts w:ascii="Calibri" w:cs="Calibri" w:eastAsia="Calibri" w:hAnsi="Calibri"/>
          <w:b/>
          <w:bCs/>
          <w:sz w:val="22"/>
          <w:szCs w:val="22"/>
        </w:rPr>
        <w:t xml:space="preserve">de juiste theme, het juiste proces, of het juiste principe</w:t>
      </w:r>
      <w:r>
        <w:rPr>
          <w:rFonts w:ascii="Calibri" w:cs="Calibri" w:eastAsia="Calibri" w:hAnsi="Calibri"/>
          <w:sz w:val="22"/>
          <w:szCs w:val="22"/>
        </w:rPr>
        <w:t xml:space="preserve"> op die specifieke situatie kunt toepassen.</w:t>
      </w:r>
    </w:p>
    <w:p>
      <w:pPr>
        <w:spacing w:after="140" w:line="300"/>
      </w:pPr>
      <w:r>
        <w:rPr>
          <w:rFonts w:ascii="Calibri" w:cs="Calibri" w:eastAsia="Calibri" w:hAnsi="Calibri"/>
          <w:b/>
          <w:bCs/>
          <w:sz w:val="22"/>
          <w:szCs w:val="22"/>
        </w:rPr>
        <w:t xml:space="preserve">Een bruikbare aanpak:</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Lees het scenario eerst in zijn geheel</w:t>
      </w:r>
      <w:r>
        <w:rPr>
          <w:rFonts w:ascii="Calibri" w:cs="Calibri" w:eastAsia="Calibri" w:hAnsi="Calibri"/>
          <w:sz w:val="22"/>
          <w:szCs w:val="22"/>
        </w:rPr>
        <w:t xml:space="preserve">, zonder al naar de vragen te kijken — bouw een mentaal beeld op van de programmacontext, de belangrijkste rollen, en waar het al misgaat of dreigt mis te gaan.</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Markeer signaalwoorden</w:t>
      </w:r>
      <w:r>
        <w:rPr>
          <w:rFonts w:ascii="Calibri" w:cs="Calibri" w:eastAsia="Calibri" w:hAnsi="Calibri"/>
          <w:sz w:val="22"/>
          <w:szCs w:val="22"/>
        </w:rPr>
        <w:t xml:space="preserve"> die naar een specifiek theme of proces wijzen: een melding over voortgang wijst naar Structure of Decisions; een discussie over of het programma nog "de moeite waard" is wijst naar Justification; een conflict tussen afdelingen wijst naar Organization of het onderwerp van deel 19 (macht en politiek).</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Koppel elke vraag terug naar het scenario</w:t>
      </w:r>
      <w:r>
        <w:rPr>
          <w:rFonts w:ascii="Calibri" w:cs="Calibri" w:eastAsia="Calibri" w:hAnsi="Calibri"/>
          <w:sz w:val="22"/>
          <w:szCs w:val="22"/>
        </w:rPr>
        <w:t xml:space="preserve">, niet naar losse theoriekennis — een antwoord dat op zichzelf correcte MSP-theorie bevat maar niet aansluit bij wat het scenario feitelijk beschrijft, is fout.</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Gebruik het open boek gericht</w:t>
      </w:r>
      <w:r>
        <w:rPr>
          <w:rFonts w:ascii="Calibri" w:cs="Calibri" w:eastAsia="Calibri" w:hAnsi="Calibri"/>
          <w:sz w:val="22"/>
          <w:szCs w:val="22"/>
        </w:rPr>
        <w:t xml:space="preserve">, niet als vervanging van voorbereiding: wie moet gaan zoeken naar de betekenis van een theme, verliest tijd; het boek is er om details te verifiëren, niet om vanaf nul te leren.</w:t>
      </w:r>
    </w:p>
    <w:p>
      <w:pPr>
        <w:spacing w:after="140" w:line="300"/>
      </w:pPr>
      <w:r>
        <w:rPr>
          <w:rFonts w:ascii="Calibri" w:cs="Calibri" w:eastAsia="Calibri" w:hAnsi="Calibri"/>
          <w:sz w:val="22"/>
          <w:szCs w:val="22"/>
        </w:rPr>
        <w:t xml:space="preserve">Dit is dezelfde scenariotechniek als bij PRINCE2 Practitioner (niveau 2, deel 22, §2), nu toegepast op programmaniveau — met als extra laag dat een MSP-scenario vaak meerdere tranches, meerdere onderliggende projecten, en een langere tijdshorizon beschrijft dan een PRINCE2-scenario.</w:t>
      </w:r>
    </w:p>
    <w:p>
      <w:pPr>
        <w:pStyle w:val="Heading2"/>
        <w:spacing w:after="120" w:before="200"/>
      </w:pPr>
      <w:r>
        <w:rPr>
          <w:rFonts w:ascii="Georgia" w:cs="Georgia" w:eastAsia="Georgia" w:hAnsi="Georgia"/>
          <w:b/>
          <w:bCs/>
          <w:color w:val="2563A8"/>
          <w:sz w:val="28"/>
          <w:szCs w:val="28"/>
        </w:rPr>
        <w:t xml:space="preserve">4. Twee fundamenteel verschillende beoordelingsvormen</w:t>
      </w:r>
    </w:p>
    <w:p>
      <w:pPr>
        <w:spacing w:after="140" w:line="300"/>
      </w:pPr>
      <w:r>
        <w:rPr>
          <w:rFonts w:ascii="Calibri" w:cs="Calibri" w:eastAsia="Calibri" w:hAnsi="Calibri"/>
          <w:sz w:val="22"/>
          <w:szCs w:val="22"/>
        </w:rPr>
        <w:t xml:space="preserve">Het is de moeite waard om expliciet stil te staan bij het verschil: MSP Practitioner beoordeelt of je een </w:t>
      </w:r>
      <w:r>
        <w:rPr>
          <w:rFonts w:ascii="Calibri" w:cs="Calibri" w:eastAsia="Calibri" w:hAnsi="Calibri"/>
          <w:b/>
          <w:bCs/>
          <w:sz w:val="22"/>
          <w:szCs w:val="22"/>
        </w:rPr>
        <w:t xml:space="preserve">methode</w:t>
      </w:r>
      <w:r>
        <w:rPr>
          <w:rFonts w:ascii="Calibri" w:cs="Calibri" w:eastAsia="Calibri" w:hAnsi="Calibri"/>
          <w:sz w:val="22"/>
          <w:szCs w:val="22"/>
        </w:rPr>
        <w:t xml:space="preserve"> correct kunt toepassen op een </w:t>
      </w:r>
      <w:r>
        <w:rPr>
          <w:rFonts w:ascii="Calibri" w:cs="Calibri" w:eastAsia="Calibri" w:hAnsi="Calibri"/>
          <w:b/>
          <w:bCs/>
          <w:sz w:val="22"/>
          <w:szCs w:val="22"/>
        </w:rPr>
        <w:t xml:space="preserve">fictieve</w:t>
      </w:r>
      <w:r>
        <w:rPr>
          <w:rFonts w:ascii="Calibri" w:cs="Calibri" w:eastAsia="Calibri" w:hAnsi="Calibri"/>
          <w:sz w:val="22"/>
          <w:szCs w:val="22"/>
        </w:rPr>
        <w:t xml:space="preserve"> situatie; IPMA-B beoordeelt wie je </w:t>
      </w:r>
      <w:r>
        <w:rPr>
          <w:rFonts w:ascii="Calibri" w:cs="Calibri" w:eastAsia="Calibri" w:hAnsi="Calibri"/>
          <w:b/>
          <w:bCs/>
          <w:sz w:val="22"/>
          <w:szCs w:val="22"/>
        </w:rPr>
        <w:t xml:space="preserve">bent</w:t>
      </w:r>
      <w:r>
        <w:rPr>
          <w:rFonts w:ascii="Calibri" w:cs="Calibri" w:eastAsia="Calibri" w:hAnsi="Calibri"/>
          <w:sz w:val="22"/>
          <w:szCs w:val="22"/>
        </w:rPr>
        <w:t xml:space="preserve"> als professional, aan de hand van </w:t>
      </w:r>
      <w:r>
        <w:rPr>
          <w:rFonts w:ascii="Calibri" w:cs="Calibri" w:eastAsia="Calibri" w:hAnsi="Calibri"/>
          <w:b/>
          <w:bCs/>
          <w:sz w:val="22"/>
          <w:szCs w:val="22"/>
        </w:rPr>
        <w:t xml:space="preserve">eigen, echte</w:t>
      </w:r>
      <w:r>
        <w:rPr>
          <w:rFonts w:ascii="Calibri" w:cs="Calibri" w:eastAsia="Calibri" w:hAnsi="Calibri"/>
          <w:sz w:val="22"/>
          <w:szCs w:val="22"/>
        </w:rPr>
        <w:t xml:space="preserve"> ervaring. De eerste vraagt vooral gerichte oefening met scenario's; de tweede vraagt eerlijke, grondige reflectie op de eigen loopbaan — een heel andere vorm van voorbereiding, die niet pas een paar weken van tevoren kan beginnen.</w:t>
      </w:r>
    </w:p>
    <w:p>
      <w:pPr>
        <w:pStyle w:val="Heading2"/>
        <w:spacing w:after="120" w:before="200"/>
      </w:pPr>
      <w:r>
        <w:rPr>
          <w:rFonts w:ascii="Georgia" w:cs="Georgia" w:eastAsia="Georgia" w:hAnsi="Georgia"/>
          <w:b/>
          <w:bCs/>
          <w:color w:val="2563A8"/>
          <w:sz w:val="28"/>
          <w:szCs w:val="28"/>
        </w:rPr>
        <w:t xml:space="preserve">5. De nieuwe casus: de Stelselovergang</w:t>
      </w:r>
    </w:p>
    <w:p>
      <w:pPr>
        <w:spacing w:after="140" w:line="300"/>
      </w:pPr>
      <w:r>
        <w:rPr>
          <w:rFonts w:ascii="Calibri" w:cs="Calibri" w:eastAsia="Calibri" w:hAnsi="Calibri"/>
          <w:sz w:val="22"/>
          <w:szCs w:val="22"/>
        </w:rPr>
        <w:t xml:space="preserve">Niveau 3 verlegt de casus naar de </w:t>
      </w:r>
      <w:r>
        <w:rPr>
          <w:rFonts w:ascii="Calibri" w:cs="Calibri" w:eastAsia="Calibri" w:hAnsi="Calibri"/>
          <w:b/>
          <w:bCs/>
          <w:sz w:val="22"/>
          <w:szCs w:val="22"/>
        </w:rPr>
        <w:t xml:space="preserve">Stelselovergang</w:t>
      </w:r>
      <w:r>
        <w:rPr>
          <w:rFonts w:ascii="Calibri" w:cs="Calibri" w:eastAsia="Calibri" w:hAnsi="Calibri"/>
          <w:sz w:val="22"/>
          <w:szCs w:val="22"/>
        </w:rPr>
        <w:t xml:space="preserve"> — de laatste fase van de wettelijke pensioentransitie (Wtp) bij Meridiaan, met een expliciete deadline en toezicht van DNB en AFM. Dit casusdossier is, net als in de architectuurcursus die dezelfde casus behandelt, bewust </w:t>
      </w:r>
      <w:r>
        <w:rPr>
          <w:rFonts w:ascii="Calibri" w:cs="Calibri" w:eastAsia="Calibri" w:hAnsi="Calibri"/>
          <w:b/>
          <w:bCs/>
          <w:sz w:val="22"/>
          <w:szCs w:val="22"/>
        </w:rPr>
        <w:t xml:space="preserve">gedupliceerd</w:t>
      </w:r>
      <w:r>
        <w:rPr>
          <w:rFonts w:ascii="Calibri" w:cs="Calibri" w:eastAsia="Calibri" w:hAnsi="Calibri"/>
          <w:sz w:val="22"/>
          <w:szCs w:val="22"/>
        </w:rPr>
        <w:t xml:space="preserve"> ten opzichte van het Programma Mutatieplatform uit niveau 2: de Stelselovergang staat op zichzelf, met eigen governance, eigen risico's, en eigen politieke dynamiek — al zullen de onderliggende technieken uit niveau 1 en 2 (business case, benefits management, tranches, risicomanagement) volledig van toepassing blijven, nu toegepast op een zwaardere, extern gecontroleerde context.</w:t>
      </w:r>
    </w:p>
    <w:p>
      <w:pPr>
        <w:pStyle w:val="Heading2"/>
        <w:spacing w:after="120" w:before="200"/>
      </w:pPr>
      <w:r>
        <w:rPr>
          <w:rFonts w:ascii="Georgia" w:cs="Georgia" w:eastAsia="Georgia" w:hAnsi="Georgia"/>
          <w:b/>
          <w:bCs/>
          <w:color w:val="2563A8"/>
          <w:sz w:val="28"/>
          <w:szCs w:val="28"/>
        </w:rPr>
        <w:t xml:space="preserve">6. Vooruitblik</w:t>
      </w:r>
    </w:p>
    <w:p>
      <w:pPr>
        <w:spacing w:after="140" w:line="300"/>
      </w:pPr>
      <w:r>
        <w:rPr>
          <w:rFonts w:ascii="Calibri" w:cs="Calibri" w:eastAsia="Calibri" w:hAnsi="Calibri"/>
          <w:sz w:val="22"/>
          <w:szCs w:val="22"/>
        </w:rPr>
        <w:t xml:space="preserve">Deel 24 behandelt wat er verandert wanneer een programma onder extern toezicht staat: de rollen van DNB en AFM, verantwoording afleggen aan een partij buiten de eigen organisatie, en het bewust wisselen van register al naar gelang het gehoor.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2026-08-17T08:29:26.321Z</dcterms:created>
  <dcterms:modified xsi:type="dcterms:W3CDTF">2026-08-17T08:29:26.322Z</dcterms:modified>
</cp:coreProperties>
</file>

<file path=docProps/custom.xml><?xml version="1.0" encoding="utf-8"?>
<Properties xmlns="http://schemas.openxmlformats.org/officeDocument/2006/custom-properties" xmlns:vt="http://schemas.openxmlformats.org/officeDocument/2006/docPropsVTypes"/>
</file>