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23 — Assessmentvaardigheid: IPMA-B-dossier en MSP-scenariotechniek</w:t>
      </w:r>
    </w:p>
    <w:p>
      <w:pPr>
        <w:spacing w:after="300"/>
      </w:pPr>
      <w:r>
        <w:rPr>
          <w:rFonts w:ascii="Calibri" w:cs="Calibri" w:eastAsia="Calibri" w:hAnsi="Calibri"/>
          <w:i/>
          <w:iCs/>
          <w:color w:val="2563A8"/>
          <w:sz w:val="22"/>
          <w:szCs w:val="22"/>
        </w:rPr>
        <w:t xml:space="preserve">Niveau 3 Expert · Project- en Programmamanagement</w:t>
      </w:r>
    </w:p>
    <w:p>
      <w:pPr>
        <w:pStyle w:val="Heading2"/>
        <w:spacing w:after="120" w:before="200"/>
      </w:pPr>
      <w:r>
        <w:rPr>
          <w:rFonts w:ascii="Georgia" w:cs="Georgia" w:eastAsia="Georgia" w:hAnsi="Georgia"/>
          <w:b/>
          <w:bCs/>
          <w:color w:val="2563A8"/>
          <w:sz w:val="28"/>
          <w:szCs w:val="28"/>
        </w:rPr>
        <w:t xml:space="preserve">Opdracht 23.1 — Complexiteit beoordelen (individueel, 15 min)</w:t>
      </w:r>
    </w:p>
    <w:p>
      <w:pPr>
        <w:spacing w:after="140" w:line="300"/>
      </w:pPr>
      <w:r>
        <w:rPr>
          <w:rFonts w:ascii="Calibri" w:cs="Calibri" w:eastAsia="Calibri" w:hAnsi="Calibri"/>
          <w:sz w:val="22"/>
          <w:szCs w:val="22"/>
        </w:rPr>
        <w:t xml:space="preserve">Beoordeel de volgende twee fictieve projecten op output- en procesgerelateerde complexiteit (reader §2). Welk project zou, ondanks een kleiner budget, waarschijnlijk hoger scoren?</w:t>
      </w:r>
    </w:p>
    <w:p>
      <w:pPr>
        <w:spacing w:after="140" w:line="300"/>
      </w:pPr>
      <w:r>
        <w:rPr>
          <w:rFonts w:ascii="Calibri" w:cs="Calibri" w:eastAsia="Calibri" w:hAnsi="Calibri"/>
          <w:b/>
          <w:bCs/>
          <w:sz w:val="22"/>
          <w:szCs w:val="22"/>
        </w:rPr>
        <w:t xml:space="preserve">Project A:</w:t>
      </w:r>
      <w:r>
        <w:rPr>
          <w:rFonts w:ascii="Calibri" w:cs="Calibri" w:eastAsia="Calibri" w:hAnsi="Calibri"/>
          <w:sz w:val="22"/>
          <w:szCs w:val="22"/>
        </w:rPr>
        <w:t xml:space="preserve"> Een grootschalige, maar technisch eenduidige vervanging van kantoorapparatuur voor de hele organisatie, met een helder, ongewijzigd programma van eisen en één leverancier.</w:t>
      </w:r>
    </w:p>
    <w:p>
      <w:pPr>
        <w:spacing w:after="140" w:line="300"/>
      </w:pPr>
      <w:r>
        <w:rPr>
          <w:rFonts w:ascii="Calibri" w:cs="Calibri" w:eastAsia="Calibri" w:hAnsi="Calibri"/>
          <w:b/>
          <w:bCs/>
          <w:sz w:val="22"/>
          <w:szCs w:val="22"/>
        </w:rPr>
        <w:t xml:space="preserve">Project B:</w:t>
      </w:r>
      <w:r>
        <w:rPr>
          <w:rFonts w:ascii="Calibri" w:cs="Calibri" w:eastAsia="Calibri" w:hAnsi="Calibri"/>
          <w:sz w:val="22"/>
          <w:szCs w:val="22"/>
        </w:rPr>
        <w:t xml:space="preserve"> Een kleinschalig, maar politiek gevoelig project om twee afdelingen met sterk verschillende belangen tot een gezamenlijke werkwijze te brengen, zonder vooraf vaststaande specificatie van het eindresultaat.</w:t>
      </w:r>
    </w:p>
    <w:p>
      <w:pPr>
        <w:pStyle w:val="Heading2"/>
        <w:spacing w:after="120" w:before="200"/>
      </w:pPr>
      <w:r>
        <w:rPr>
          <w:rFonts w:ascii="Georgia" w:cs="Georgia" w:eastAsia="Georgia" w:hAnsi="Georgia"/>
          <w:b/>
          <w:bCs/>
          <w:color w:val="2563A8"/>
          <w:sz w:val="28"/>
          <w:szCs w:val="28"/>
        </w:rPr>
        <w:t xml:space="preserve">Opdracht 23.2 — Een competentie navertelbaar maken (individueel, 20 min)</w:t>
      </w:r>
    </w:p>
    <w:p>
      <w:pPr>
        <w:spacing w:after="140" w:line="300"/>
      </w:pPr>
      <w:r>
        <w:rPr>
          <w:rFonts w:ascii="Calibri" w:cs="Calibri" w:eastAsia="Calibri" w:hAnsi="Calibri"/>
          <w:sz w:val="22"/>
          <w:szCs w:val="22"/>
        </w:rPr>
        <w:t xml:space="preserve">Kies één ICB4-competentie (bijvoorbeeld: onderhandelen, conflict en crisis, of leiderschap — niveau 1, deel 9; niveau 2, deel 19) en schrijf, in de structuur situatie-taak-actie-resultaat, een kort (circa 150 woorden) voorbeeld uit eigen ervaring of een realistische, voorstelbare situatie. Wissel na afloop uit met een ander: kan de ander, puur op basis van je tekst, navertellen wat de kern van je aanpak was?</w:t>
      </w:r>
    </w:p>
    <w:p>
      <w:pPr>
        <w:pStyle w:val="Heading2"/>
        <w:spacing w:after="120" w:before="200"/>
      </w:pPr>
      <w:r>
        <w:rPr>
          <w:rFonts w:ascii="Georgia" w:cs="Georgia" w:eastAsia="Georgia" w:hAnsi="Georgia"/>
          <w:b/>
          <w:bCs/>
          <w:color w:val="2563A8"/>
          <w:sz w:val="28"/>
          <w:szCs w:val="28"/>
        </w:rPr>
        <w:t xml:space="preserve">Opdracht 23.3 — Een MSP-scenariofragment lezen (tweetallen, 20 min)</w:t>
      </w:r>
    </w:p>
    <w:p>
      <w:pPr>
        <w:spacing w:after="140" w:line="300"/>
      </w:pPr>
      <w:r>
        <w:rPr>
          <w:rFonts w:ascii="Calibri" w:cs="Calibri" w:eastAsia="Calibri" w:hAnsi="Calibri"/>
          <w:sz w:val="22"/>
          <w:szCs w:val="22"/>
        </w:rPr>
        <w:t xml:space="preserve">Lees het volgende korte scenariofragment:</w:t>
      </w:r>
    </w:p>
    <w:p>
      <w:pPr>
        <w:spacing w:after="140" w:line="300"/>
      </w:pPr>
      <w:r>
        <w:rPr>
          <w:rFonts w:ascii="Calibri" w:cs="Calibri" w:eastAsia="Calibri" w:hAnsi="Calibri"/>
          <w:i/>
          <w:iCs/>
          <w:sz w:val="22"/>
          <w:szCs w:val="22"/>
        </w:rPr>
        <w:t xml:space="preserve">"Het programma Stelselovergang bevindt zich in de tweede tranche. Tijdens een reguliere voortgangsbespreking meldt de Business Change Manager van de afdeling Pensioenadministratie dat medewerkers weerstand tonen tegen de nieuwe werkwijze rond het invaren van bestaande rechten. De Senior Responsible Owner vraagt zich af of de geplande derde tranche nog haalbaar is binnen de wettelijke deadline, gegeven deze weerstand."</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Welke signaalwoorden wijzen naar welk MSP-theme of -proces (reader §3, stap 2)?</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Welke vervolgvraag zou een Practitioner-examen hier waarschijnlijk stellen?</w:t>
      </w:r>
    </w:p>
    <w:p>
      <w:pPr>
        <w:pStyle w:val="Heading2"/>
        <w:spacing w:after="120" w:before="200"/>
      </w:pPr>
      <w:r>
        <w:rPr>
          <w:rFonts w:ascii="Georgia" w:cs="Georgia" w:eastAsia="Georgia" w:hAnsi="Georgia"/>
          <w:b/>
          <w:bCs/>
          <w:color w:val="2563A8"/>
          <w:sz w:val="28"/>
          <w:szCs w:val="28"/>
        </w:rPr>
        <w:t xml:space="preserve">Opdracht 23.4 — Twee beoordelingsvormen vergelijken (klassikaal, 10 min)</w:t>
      </w:r>
    </w:p>
    <w:p>
      <w:pPr>
        <w:spacing w:after="140" w:line="300"/>
      </w:pPr>
      <w:r>
        <w:rPr>
          <w:rFonts w:ascii="Calibri" w:cs="Calibri" w:eastAsia="Calibri" w:hAnsi="Calibri"/>
          <w:sz w:val="22"/>
          <w:szCs w:val="22"/>
        </w:rPr>
        <w:t xml:space="preserve">Bespreek: als je zelf zou moeten kiezen tussen een scenario-examen (MSP Practitioner) en een assessmentgesprek op basis van eigen ervaring (IPMA-B), welke voorbereiding zou voor jou persoonlijk meer tijd en welke type inspanning vergen? Wat zegt dat over hoe vroeg je met elke voorbereiding zou moeten beginnen?</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Reader §2 waarschuwt dat kandidaten die zich alleen op theorie voorbereiden, vastlopen zodra een assessor doorvraagt naar een specifiek moment. Wat zou jij, voor jezelf, als lastigste competentie ervaren om met een concreet, navertelbaar voorbeeld te onderbouwen — en waarom juist die?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2026-08-17T08:29:26.371Z</dcterms:created>
  <dcterms:modified xsi:type="dcterms:W3CDTF">2026-08-17T08:29:26.371Z</dcterms:modified>
</cp:coreProperties>
</file>

<file path=docProps/custom.xml><?xml version="1.0" encoding="utf-8"?>
<Properties xmlns="http://schemas.openxmlformats.org/officeDocument/2006/custom-properties" xmlns:vt="http://schemas.openxmlformats.org/officeDocument/2006/docPropsVTypes"/>
</file>