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Deel 24 — Programma's onder toezicht: DNB, AFM, verantwoording, registerwisseling</w:t>
      </w:r>
    </w:p>
    <w:p>
      <w:pPr>
        <w:spacing w:after="300"/>
      </w:pPr>
      <w:r>
        <w:rPr>
          <w:rFonts w:ascii="Calibri" w:cs="Calibri" w:eastAsia="Calibri" w:hAnsi="Calibri"/>
          <w:i/>
          <w:iCs/>
          <w:color w:val="2563A8"/>
          <w:sz w:val="22"/>
          <w:szCs w:val="22"/>
        </w:rPr>
        <w:t xml:space="preserve">Niveau 3 Expert · Project- en Programmamanagement</w:t>
      </w:r>
    </w:p>
    <w:p>
      <w:pPr>
        <w:spacing w:after="140" w:line="300"/>
      </w:pPr>
      <w:r>
        <w:rPr>
          <w:rFonts w:ascii="Calibri" w:cs="Calibri" w:eastAsia="Calibri" w:hAnsi="Calibri"/>
          <w:b/>
          <w:bCs/>
          <w:sz w:val="22"/>
          <w:szCs w:val="22"/>
        </w:rPr>
        <w:t xml:space="preserve">Dagdeel:</w:t>
      </w:r>
      <w:r>
        <w:rPr>
          <w:rFonts w:ascii="Calibri" w:cs="Calibri" w:eastAsia="Calibri" w:hAnsi="Calibri"/>
          <w:sz w:val="22"/>
          <w:szCs w:val="22"/>
        </w:rPr>
        <w:t xml:space="preserve"> 24 (deel 2 van niveau 3) · </w:t>
      </w:r>
      <w:r>
        <w:rPr>
          <w:rFonts w:ascii="Calibri" w:cs="Calibri" w:eastAsia="Calibri" w:hAnsi="Calibri"/>
          <w:b/>
          <w:bCs/>
          <w:sz w:val="22"/>
          <w:szCs w:val="22"/>
        </w:rPr>
        <w:t xml:space="preserve">Duur:</w:t>
      </w:r>
      <w:r>
        <w:rPr>
          <w:rFonts w:ascii="Calibri" w:cs="Calibri" w:eastAsia="Calibri" w:hAnsi="Calibri"/>
          <w:sz w:val="22"/>
          <w:szCs w:val="22"/>
        </w:rPr>
        <w:t xml:space="preserve"> circa 3 uur, inclusief pauze</w:t>
      </w:r>
    </w:p>
    <w:p>
      <w:pPr>
        <w:spacing w:after="140" w:line="300"/>
      </w:pPr>
      <w:r>
        <w:rPr>
          <w:rFonts w:ascii="Calibri" w:cs="Calibri" w:eastAsia="Calibri" w:hAnsi="Calibri"/>
          <w:b/>
          <w:bCs/>
          <w:sz w:val="22"/>
          <w:szCs w:val="22"/>
        </w:rPr>
        <w:t xml:space="preserve">Doel van dit deel:</w:t>
      </w:r>
      <w:r>
        <w:rPr>
          <w:rFonts w:ascii="Calibri" w:cs="Calibri" w:eastAsia="Calibri" w:hAnsi="Calibri"/>
          <w:sz w:val="22"/>
          <w:szCs w:val="22"/>
        </w:rPr>
        <w:t xml:space="preserve"> deelnemers een scherp, praktisch bruikbaar onderscheid meegeven tussen legitieme registerwisseling en misleiding — dit is een van de belangrijkste ethische ankerpunten van niveau 3 en komt later (deel 27) uitgebreider terug.</w:t>
      </w:r>
    </w:p>
    <w:p>
      <w:pPr>
        <w:pStyle w:val="Heading2"/>
        <w:spacing w:after="120" w:before="200"/>
      </w:pPr>
      <w:r>
        <w:rPr>
          <w:rFonts w:ascii="Georgia" w:cs="Georgia" w:eastAsia="Georgia" w:hAnsi="Georgia"/>
          <w:b/>
          <w:bCs/>
          <w:color w:val="2563A8"/>
          <w:sz w:val="28"/>
          <w:szCs w:val="28"/>
        </w:rPr>
        <w:t xml:space="preserve">Opbouw en timing</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c>
          <w:tcPr>
            <w:shd w:fill="14213D"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Vorm</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23, introductie: wat verandert onder toezicht (reader §1)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DNB en AFM: twee soorten toezicht (reader §2)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24.1</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Individueel + 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Verantwoording als extra governancelaag (reader §3)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1:15–1:35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Registerwisseling: de kernregel (reader §4)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1:35–2:00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24.2</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Tweetallen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2:00–2:15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24.3</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2:15–2:25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Assurance onder toezicht (reader §5) + opdracht 24.4</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Presentatie + klassikaal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2:25–2:30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Vooruitblik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Afsluiting</w:t>
            </w:r>
          </w:p>
        </w:tc>
      </w:tr>
    </w:tbl>
    <w:p>
      <w:pPr>
        <w:pStyle w:val="Heading2"/>
        <w:spacing w:after="120" w:before="200"/>
      </w:pPr>
      <w:r>
        <w:rPr>
          <w:rFonts w:ascii="Georgia" w:cs="Georgia" w:eastAsia="Georgia" w:hAnsi="Georgia"/>
          <w:b/>
          <w:bCs/>
          <w:color w:val="2563A8"/>
          <w:sz w:val="28"/>
          <w:szCs w:val="28"/>
        </w:rPr>
        <w:t xml:space="preserve">Didactische aanwijzingen</w:t>
      </w:r>
    </w:p>
    <w:p>
      <w:pPr>
        <w:pStyle w:val="ListParagraph"/>
        <w:numPr>
          <w:ilvl w:val="0"/>
          <w:numId w:val="1"/>
        </w:numPr>
        <w:spacing w:after="100" w:line="280"/>
      </w:pPr>
      <w:r>
        <w:rPr>
          <w:rFonts w:ascii="Calibri" w:cs="Calibri" w:eastAsia="Calibri" w:hAnsi="Calibri"/>
          <w:b/>
          <w:bCs/>
          <w:sz w:val="22"/>
          <w:szCs w:val="22"/>
        </w:rPr>
        <w:t xml:space="preserve">De kernregel uit reader §4 ("het register bepaalt de nadruk, nooit de feiten") is het belangrijkste zinnetje van dit deel — laat het letterlijk terugkomen bij elke opdracht.</w:t>
      </w:r>
      <w:r>
        <w:rPr>
          <w:rFonts w:ascii="Calibri" w:cs="Calibri" w:eastAsia="Calibri" w:hAnsi="Calibri"/>
          <w:sz w:val="22"/>
          <w:szCs w:val="22"/>
        </w:rPr>
        <w:t xml:space="preserve"> Dit is geen abstract ethisch principe maar een toetsbare regel: bij elke oefening kun je vragen "zijn de feiten in alle versies identiek?"</w:t>
      </w:r>
    </w:p>
    <w:p>
      <w:pPr>
        <w:pStyle w:val="ListParagraph"/>
        <w:numPr>
          <w:ilvl w:val="0"/>
          <w:numId w:val="1"/>
        </w:numPr>
        <w:spacing w:after="100" w:line="280"/>
      </w:pPr>
      <w:r>
        <w:rPr>
          <w:rFonts w:ascii="Calibri" w:cs="Calibri" w:eastAsia="Calibri" w:hAnsi="Calibri"/>
          <w:b/>
          <w:bCs/>
          <w:sz w:val="22"/>
          <w:szCs w:val="22"/>
        </w:rPr>
        <w:t xml:space="preserve">Bij opdracht 24.2 is het cruciaal dat groepen expliciet markeren welk deel van hun tekst nadruk is en welk deel feit.</w:t>
      </w:r>
      <w:r>
        <w:rPr>
          <w:rFonts w:ascii="Calibri" w:cs="Calibri" w:eastAsia="Calibri" w:hAnsi="Calibri"/>
          <w:sz w:val="22"/>
          <w:szCs w:val="22"/>
        </w:rPr>
        <w:t xml:space="preserve"> Dit dwingt het onderscheid zichtbaar te maken in plaats van impliciet te laten. Loop rond en controleer specifiek of de kernfeiten (de onnauwkeurigheden bestaan, ze beïnvloeden aanspraken, ze zijn al langer bekend) in alle drie de versies daadwerkelijk aanwezig blijven.</w:t>
      </w:r>
    </w:p>
    <w:p>
      <w:pPr>
        <w:pStyle w:val="ListParagraph"/>
        <w:numPr>
          <w:ilvl w:val="0"/>
          <w:numId w:val="1"/>
        </w:numPr>
        <w:spacing w:after="100" w:line="280"/>
      </w:pPr>
      <w:r>
        <w:rPr>
          <w:rFonts w:ascii="Calibri" w:cs="Calibri" w:eastAsia="Calibri" w:hAnsi="Calibri"/>
          <w:b/>
          <w:bCs/>
          <w:sz w:val="22"/>
          <w:szCs w:val="22"/>
        </w:rPr>
        <w:t xml:space="preserve">Bij opdracht 24.3b is het punt scherp: "nodeloos compliceren" is een rode vlag-formulering.</w:t>
      </w:r>
      <w:r>
        <w:rPr>
          <w:rFonts w:ascii="Calibri" w:cs="Calibri" w:eastAsia="Calibri" w:hAnsi="Calibri"/>
          <w:sz w:val="22"/>
          <w:szCs w:val="22"/>
        </w:rPr>
        <w:t xml:space="preserve"> Leer deelnemers dit soort taal te herkennen als een teken dat feiten worden weggelaten, niet alleen anders benadrukt.</w:t>
      </w:r>
    </w:p>
    <w:p>
      <w:pPr>
        <w:pStyle w:val="ListParagraph"/>
        <w:numPr>
          <w:ilvl w:val="0"/>
          <w:numId w:val="1"/>
        </w:numPr>
        <w:spacing w:after="100" w:line="280"/>
      </w:pPr>
      <w:r>
        <w:rPr>
          <w:rFonts w:ascii="Calibri" w:cs="Calibri" w:eastAsia="Calibri" w:hAnsi="Calibri"/>
          <w:b/>
          <w:bCs/>
          <w:sz w:val="22"/>
          <w:szCs w:val="22"/>
        </w:rPr>
        <w:t xml:space="preserve">Wees voorzichtig met het geven van te makkelijke voorbeelden.</w:t>
      </w:r>
      <w:r>
        <w:rPr>
          <w:rFonts w:ascii="Calibri" w:cs="Calibri" w:eastAsia="Calibri" w:hAnsi="Calibri"/>
          <w:sz w:val="22"/>
          <w:szCs w:val="22"/>
        </w:rPr>
        <w:t xml:space="preserve"> De echte moeilijkheid van registerwisseling zit in grensgevallen, niet in duidelijke zwart-witsituaties — bouw dat besef op door bij de nabespreking door te vragen "waar zit hier precies de grens, en hoe dicht zit dit voorbeeld erbij?"</w:t>
      </w:r>
    </w:p>
    <w:p>
      <w:pPr>
        <w:pStyle w:val="Heading2"/>
        <w:spacing w:after="120" w:before="200"/>
      </w:pPr>
      <w:r>
        <w:rPr>
          <w:rFonts w:ascii="Georgia" w:cs="Georgia" w:eastAsia="Georgia" w:hAnsi="Georgia"/>
          <w:b/>
          <w:bCs/>
          <w:color w:val="2563A8"/>
          <w:sz w:val="28"/>
          <w:szCs w:val="28"/>
        </w:rPr>
        <w:t xml:space="preserve">Modelantwoorden — Opdracht 24.1</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DNB (prudentieel toezicht).</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AFM (gedragstoezicht).</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DNB.</w:t>
      </w:r>
    </w:p>
    <w:p>
      <w:pPr>
        <w:spacing w:after="120" w:line="280"/>
        <w:ind w:left="360" w:hanging="360"/>
      </w:pPr>
      <w:r>
        <w:rPr>
          <w:rFonts w:ascii="Calibri" w:cs="Calibri" w:eastAsia="Calibri" w:hAnsi="Calibri"/>
          <w:b/>
          <w:bCs/>
          <w:color w:val="2563A8"/>
          <w:sz w:val="22"/>
          <w:szCs w:val="22"/>
        </w:rPr>
        <w:t xml:space="preserve">d. </w:t>
      </w:r>
      <w:r>
        <w:rPr>
          <w:rFonts w:ascii="Calibri" w:cs="Calibri" w:eastAsia="Calibri" w:hAnsi="Calibri"/>
          <w:sz w:val="22"/>
          <w:szCs w:val="22"/>
        </w:rPr>
        <w:t xml:space="preserve">AFM.</w:t>
      </w:r>
    </w:p>
    <w:p>
      <w:pPr>
        <w:pStyle w:val="Heading2"/>
        <w:spacing w:after="120" w:before="200"/>
      </w:pPr>
      <w:r>
        <w:rPr>
          <w:rFonts w:ascii="Georgia" w:cs="Georgia" w:eastAsia="Georgia" w:hAnsi="Georgia"/>
          <w:b/>
          <w:bCs/>
          <w:color w:val="2563A8"/>
          <w:sz w:val="28"/>
          <w:szCs w:val="28"/>
        </w:rPr>
        <w:t xml:space="preserve">Modelantwoord — Opdracht 24.2</w:t>
      </w:r>
    </w:p>
    <w:p>
      <w:pPr>
        <w:spacing w:after="140" w:line="300"/>
      </w:pPr>
      <w:r>
        <w:rPr>
          <w:rFonts w:ascii="Calibri" w:cs="Calibri" w:eastAsia="Calibri" w:hAnsi="Calibri"/>
          <w:sz w:val="22"/>
          <w:szCs w:val="22"/>
        </w:rPr>
        <w:t xml:space="preserve">Kern van een goed antwoord: in alle drie de versies zijn de feiten identiek (onnauwkeurigheden bestaan, ze zijn niet nieuw, ze kunnen aanspraken licht beïnvloeden), maar de nadruk verschuift — bijvoorbeeld: richting bestuur ligt de nadruk op de beheersmaatregelen en het tijdpad om dit op te lossen; richting DNB ligt de nadruk op de technische aanpak en de risicobeheersing die dit ondervangt; richting deelnemers ligt de nadruk op wat dit praktisch voor hen betekent en welke stappen worden gezet, in toegankelijke taal. Cruciaal: nergens wordt de onnauwkeurigheid zelf verzwegen of gebagatelliseerd tot "geen probleem."</w:t>
      </w:r>
    </w:p>
    <w:p>
      <w:pPr>
        <w:pStyle w:val="Heading2"/>
        <w:spacing w:after="120" w:before="200"/>
      </w:pPr>
      <w:r>
        <w:rPr>
          <w:rFonts w:ascii="Georgia" w:cs="Georgia" w:eastAsia="Georgia" w:hAnsi="Georgia"/>
          <w:b/>
          <w:bCs/>
          <w:color w:val="2563A8"/>
          <w:sz w:val="28"/>
          <w:szCs w:val="28"/>
        </w:rPr>
        <w:t xml:space="preserve">Modelantwoorden — Opdracht 24.3</w:t>
      </w:r>
    </w:p>
    <w:p>
      <w:pPr>
        <w:spacing w:after="120" w:line="280"/>
        <w:ind w:left="360" w:hanging="360"/>
      </w:pPr>
      <w:r>
        <w:rPr>
          <w:rFonts w:ascii="Calibri" w:cs="Calibri" w:eastAsia="Calibri" w:hAnsi="Calibri"/>
          <w:b/>
          <w:bCs/>
          <w:color w:val="2563A8"/>
          <w:sz w:val="22"/>
          <w:szCs w:val="22"/>
        </w:rPr>
        <w:t xml:space="preserve">a. </w:t>
      </w:r>
      <w:r>
        <w:rPr>
          <w:rFonts w:ascii="Calibri" w:cs="Calibri" w:eastAsia="Calibri" w:hAnsi="Calibri"/>
          <w:sz w:val="22"/>
          <w:szCs w:val="22"/>
        </w:rPr>
        <w:t xml:space="preserve">Legitieme registerwisseling — beide formuleringen beschrijven dezelfde onderliggende status ("er is een beheersplan"), alleen in andere bewoordingen.</w:t>
      </w:r>
    </w:p>
    <w:p>
      <w:pPr>
        <w:spacing w:after="120" w:line="280"/>
        <w:ind w:left="360" w:hanging="360"/>
      </w:pPr>
      <w:r>
        <w:rPr>
          <w:rFonts w:ascii="Calibri" w:cs="Calibri" w:eastAsia="Calibri" w:hAnsi="Calibri"/>
          <w:b/>
          <w:bCs/>
          <w:color w:val="2563A8"/>
          <w:sz w:val="22"/>
          <w:szCs w:val="22"/>
        </w:rPr>
        <w:t xml:space="preserve">b. </w:t>
      </w:r>
      <w:r>
        <w:rPr>
          <w:rFonts w:ascii="Calibri" w:cs="Calibri" w:eastAsia="Calibri" w:hAnsi="Calibri"/>
          <w:sz w:val="22"/>
          <w:szCs w:val="22"/>
        </w:rPr>
        <w:t xml:space="preserve">Misleiding — het risico wordt feitelijk weggelaten, niet alleen anders benadrukt; de reden ("nodeloos compliceren") is een rode vlag.</w:t>
      </w:r>
    </w:p>
    <w:p>
      <w:pPr>
        <w:spacing w:after="120" w:line="280"/>
        <w:ind w:left="360" w:hanging="360"/>
      </w:pPr>
      <w:r>
        <w:rPr>
          <w:rFonts w:ascii="Calibri" w:cs="Calibri" w:eastAsia="Calibri" w:hAnsi="Calibri"/>
          <w:b/>
          <w:bCs/>
          <w:color w:val="2563A8"/>
          <w:sz w:val="22"/>
          <w:szCs w:val="22"/>
        </w:rPr>
        <w:t xml:space="preserve">c. </w:t>
      </w:r>
      <w:r>
        <w:rPr>
          <w:rFonts w:ascii="Calibri" w:cs="Calibri" w:eastAsia="Calibri" w:hAnsi="Calibri"/>
          <w:sz w:val="22"/>
          <w:szCs w:val="22"/>
        </w:rPr>
        <w:t xml:space="preserve">Legitieme registerwisseling — vereenvoudiging zonder de kernboodschap te verzachten is precies wat goede communicatie naar een minder technisch gehoor vereist.</w:t>
      </w:r>
    </w:p>
    <w:p>
      <w:pPr>
        <w:pStyle w:val="Heading2"/>
        <w:spacing w:after="120" w:before="200"/>
      </w:pPr>
      <w:r>
        <w:rPr>
          <w:rFonts w:ascii="Georgia" w:cs="Georgia" w:eastAsia="Georgia" w:hAnsi="Georgia"/>
          <w:b/>
          <w:bCs/>
          <w:color w:val="2563A8"/>
          <w:sz w:val="28"/>
          <w:szCs w:val="28"/>
        </w:rPr>
        <w:t xml:space="preserve">Modelantwoord — Opdracht 24.4</w:t>
      </w:r>
    </w:p>
    <w:p>
      <w:pPr>
        <w:spacing w:after="140" w:line="300"/>
      </w:pPr>
      <w:r>
        <w:rPr>
          <w:rFonts w:ascii="Calibri" w:cs="Calibri" w:eastAsia="Calibri" w:hAnsi="Calibri"/>
          <w:sz w:val="22"/>
          <w:szCs w:val="22"/>
        </w:rPr>
        <w:t xml:space="preserve">Een programma zou vooraf de eigen derde lijn (niveau 2, deel 18, §4) serieus moeten laten functioneren: een onafhankelijke, interne toetsing die kritische vragen stelt vóórdat de toezichthouder dat doet. Concreet: een interne audit of assurance-ronde die expliciet zoekt naar precies het soort inconsistenties tussen documenten (implementatieplan versus communicatieplan versus interne rapportages) die een toezichthouder zelf zou kunnen ontdekken — liever zelf gevonden en gecorrigeerd dan pas tijdens een extern gesprek.</w:t>
      </w:r>
    </w:p>
    <w:p>
      <w:pPr>
        <w:pStyle w:val="Heading2"/>
        <w:spacing w:after="120" w:before="200"/>
      </w:pPr>
      <w:r>
        <w:rPr>
          <w:rFonts w:ascii="Georgia" w:cs="Georgia" w:eastAsia="Georgia" w:hAnsi="Georgia"/>
          <w:b/>
          <w:bCs/>
          <w:color w:val="2563A8"/>
          <w:sz w:val="28"/>
          <w:szCs w:val="28"/>
        </w:rPr>
        <w:t xml:space="preserve">Modelantwoord — Reflectievraag</w:t>
      </w:r>
    </w:p>
    <w:p>
      <w:pPr>
        <w:spacing w:after="140" w:line="300"/>
      </w:pPr>
      <w:r>
        <w:rPr>
          <w:rFonts w:ascii="Calibri" w:cs="Calibri" w:eastAsia="Calibri" w:hAnsi="Calibri"/>
          <w:sz w:val="22"/>
          <w:szCs w:val="22"/>
        </w:rPr>
        <w:t xml:space="preserve">Antwoorden zullen sterk verschillen; stuur de nabespreking richting het herkennen van het patroon: misleiding ontstaat zelden door een expliciete leugen, vaker door het weglaten van een feit met de rationalisatie dat het "de zaak nodeloos zou compliceren" of "toch niet relevant is voor dit gehoor" — precies de rode vlag uit opdracht 24.3b.</w:t>
      </w:r>
    </w:p>
    <w:p>
      <w:pPr>
        <w:pStyle w:val="Heading2"/>
        <w:spacing w:after="120" w:before="200"/>
      </w:pPr>
      <w:r>
        <w:rPr>
          <w:rFonts w:ascii="Georgia" w:cs="Georgia" w:eastAsia="Georgia" w:hAnsi="Georgia"/>
          <w:b/>
          <w:bCs/>
          <w:color w:val="2563A8"/>
          <w:sz w:val="28"/>
          <w:szCs w:val="28"/>
        </w:rPr>
        <w:t xml:space="preserve">Veelgestelde vragen</w:t>
      </w:r>
    </w:p>
    <w:p>
      <w:pPr>
        <w:pStyle w:val="ListParagraph"/>
        <w:numPr>
          <w:ilvl w:val="0"/>
          <w:numId w:val="1"/>
        </w:numPr>
        <w:spacing w:after="100" w:line="280"/>
      </w:pPr>
      <w:r>
        <w:rPr>
          <w:rFonts w:ascii="Calibri" w:cs="Calibri" w:eastAsia="Calibri" w:hAnsi="Calibri"/>
          <w:i/>
          <w:iCs/>
          <w:sz w:val="22"/>
          <w:szCs w:val="22"/>
        </w:rPr>
        <w:t xml:space="preserve">"Wat als het bestuur zelf aandringt op het weglaten van een lastig feit richting de toezichthouder?"</w:t>
      </w:r>
      <w:r>
        <w:rPr>
          <w:rFonts w:ascii="Calibri" w:cs="Calibri" w:eastAsia="Calibri" w:hAnsi="Calibri"/>
          <w:sz w:val="22"/>
          <w:szCs w:val="22"/>
        </w:rPr>
        <w:t xml:space="preserve"> Dat verandert niets aan de kernregel — een programmamanager die hieraan meewerkt, is medeverantwoordelijk voor de misleiding, ongeacht wie erom heeft gevraagd; dit thema komt in deel 27 (ethiek) uitgebreider terug.</w:t>
      </w:r>
    </w:p>
    <w:p>
      <w:pPr>
        <w:pStyle w:val="ListParagraph"/>
        <w:numPr>
          <w:ilvl w:val="0"/>
          <w:numId w:val="1"/>
        </w:numPr>
        <w:spacing w:after="100" w:line="280"/>
      </w:pPr>
      <w:r>
        <w:rPr>
          <w:rFonts w:ascii="Calibri" w:cs="Calibri" w:eastAsia="Calibri" w:hAnsi="Calibri"/>
          <w:i/>
          <w:iCs/>
          <w:sz w:val="22"/>
          <w:szCs w:val="22"/>
        </w:rPr>
        <w:t xml:space="preserve">"Moeten DNB en AFM altijd hetzelfde document krijgen?"</w:t>
      </w:r>
      <w:r>
        <w:rPr>
          <w:rFonts w:ascii="Calibri" w:cs="Calibri" w:eastAsia="Calibri" w:hAnsi="Calibri"/>
          <w:sz w:val="22"/>
          <w:szCs w:val="22"/>
        </w:rPr>
        <w:t xml:space="preserve"> Nee — elk heeft een eigen wettelijk vereist document (implementatieplan respectievelijk communicatieplan) met een andere focus, zolang de onderliggende feiten consistent zijn.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Project- en Programmamanagement · Niveau 3 Expert · Deel 24 · Docentenhandleiding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2026-08-17T08:30:14.617Z</dcterms:created>
  <dcterms:modified xsi:type="dcterms:W3CDTF">2026-08-17T08:30:14.617Z</dcterms:modified>
</cp:coreProperties>
</file>

<file path=docProps/custom.xml><?xml version="1.0" encoding="utf-8"?>
<Properties xmlns="http://schemas.openxmlformats.org/officeDocument/2006/custom-properties" xmlns:vt="http://schemas.openxmlformats.org/officeDocument/2006/docPropsVTypes"/>
</file>