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24 — Programma's onder toezicht: DNB, AFM, verantwoording, registerwisseling</w:t>
      </w:r>
    </w:p>
    <w:p>
      <w:pPr>
        <w:spacing w:after="300"/>
      </w:pPr>
      <w:r>
        <w:rPr>
          <w:rFonts w:ascii="Calibri" w:cs="Calibri" w:eastAsia="Calibri" w:hAnsi="Calibri"/>
          <w:i/>
          <w:iCs/>
          <w:color w:val="2563A8"/>
          <w:sz w:val="22"/>
          <w:szCs w:val="22"/>
        </w:rPr>
        <w:t xml:space="preserve">Niveau 3 Expert · Project- en Programmamanagement</w:t>
      </w:r>
    </w:p>
    <w:p>
      <w:pPr>
        <w:pStyle w:val="Heading2"/>
        <w:spacing w:after="120" w:before="200"/>
      </w:pPr>
      <w:r>
        <w:rPr>
          <w:rFonts w:ascii="Georgia" w:cs="Georgia" w:eastAsia="Georgia" w:hAnsi="Georgia"/>
          <w:b/>
          <w:bCs/>
          <w:color w:val="2563A8"/>
          <w:sz w:val="28"/>
          <w:szCs w:val="28"/>
        </w:rPr>
        <w:t xml:space="preserve">1. Wat verandert onder extern toezicht</w:t>
      </w:r>
    </w:p>
    <w:p>
      <w:pPr>
        <w:spacing w:after="140" w:line="300"/>
      </w:pPr>
      <w:r>
        <w:rPr>
          <w:rFonts w:ascii="Calibri" w:cs="Calibri" w:eastAsia="Calibri" w:hAnsi="Calibri"/>
          <w:sz w:val="22"/>
          <w:szCs w:val="22"/>
        </w:rPr>
        <w:t xml:space="preserve">Alles wat in niveau 1 en 2 is opgebouwd — business case, governance, benefits management, risicomanagement — blijft volledig van toepassing. Wat de Stelselovergang toevoegt, is een </w:t>
      </w:r>
      <w:r>
        <w:rPr>
          <w:rFonts w:ascii="Calibri" w:cs="Calibri" w:eastAsia="Calibri" w:hAnsi="Calibri"/>
          <w:b/>
          <w:bCs/>
          <w:sz w:val="22"/>
          <w:szCs w:val="22"/>
        </w:rPr>
        <w:t xml:space="preserve">externe laag</w:t>
      </w:r>
      <w:r>
        <w:rPr>
          <w:rFonts w:ascii="Calibri" w:cs="Calibri" w:eastAsia="Calibri" w:hAnsi="Calibri"/>
          <w:sz w:val="22"/>
          <w:szCs w:val="22"/>
        </w:rPr>
        <w:t xml:space="preserve">: partijen buiten Meridiaan die het programma beoordelen, met wettelijke bevoegdheden die een gewone stakeholder (deel 19, niveau 2) niet heeft. Dit deel behandelt wat dat concreet betekent voor governance, verantwoording en communicatie.</w:t>
      </w:r>
    </w:p>
    <w:p>
      <w:pPr>
        <w:pStyle w:val="Heading2"/>
        <w:spacing w:after="120" w:before="200"/>
      </w:pPr>
      <w:r>
        <w:rPr>
          <w:rFonts w:ascii="Georgia" w:cs="Georgia" w:eastAsia="Georgia" w:hAnsi="Georgia"/>
          <w:b/>
          <w:bCs/>
          <w:color w:val="2563A8"/>
          <w:sz w:val="28"/>
          <w:szCs w:val="28"/>
        </w:rPr>
        <w:t xml:space="preserve">2. DNB en AFM: twee verschillende soorten toezicht</w:t>
      </w:r>
    </w:p>
    <w:p>
      <w:pPr>
        <w:spacing w:after="140" w:line="300"/>
      </w:pPr>
      <w:r>
        <w:rPr>
          <w:rFonts w:ascii="Calibri" w:cs="Calibri" w:eastAsia="Calibri" w:hAnsi="Calibri"/>
          <w:sz w:val="22"/>
          <w:szCs w:val="22"/>
        </w:rPr>
        <w:t xml:space="preserve">Voor de pensioensector gelden twee toezichthouders, elk met een eigen focus:</w:t>
      </w:r>
    </w:p>
    <w:p>
      <w:pPr>
        <w:pStyle w:val="ListParagraph"/>
        <w:numPr>
          <w:ilvl w:val="0"/>
          <w:numId w:val="1"/>
        </w:numPr>
        <w:spacing w:after="100" w:line="280"/>
      </w:pPr>
      <w:r>
        <w:rPr>
          <w:rFonts w:ascii="Calibri" w:cs="Calibri" w:eastAsia="Calibri" w:hAnsi="Calibri"/>
          <w:b/>
          <w:bCs/>
          <w:sz w:val="22"/>
          <w:szCs w:val="22"/>
        </w:rPr>
        <w:t xml:space="preserve">De Nederlandsche Bank (DNB)</w:t>
      </w:r>
      <w:r>
        <w:rPr>
          <w:rFonts w:ascii="Calibri" w:cs="Calibri" w:eastAsia="Calibri" w:hAnsi="Calibri"/>
          <w:sz w:val="22"/>
          <w:szCs w:val="22"/>
        </w:rPr>
        <w:t xml:space="preserve"> houdt </w:t>
      </w:r>
      <w:r>
        <w:rPr>
          <w:rFonts w:ascii="Calibri" w:cs="Calibri" w:eastAsia="Calibri" w:hAnsi="Calibri"/>
          <w:b/>
          <w:bCs/>
          <w:sz w:val="22"/>
          <w:szCs w:val="22"/>
        </w:rPr>
        <w:t xml:space="preserve">prudentieel toezicht</w:t>
      </w:r>
      <w:r>
        <w:rPr>
          <w:rFonts w:ascii="Calibri" w:cs="Calibri" w:eastAsia="Calibri" w:hAnsi="Calibri"/>
          <w:sz w:val="22"/>
          <w:szCs w:val="22"/>
        </w:rPr>
        <w:t xml:space="preserve"> (de financiële soliditeit van de pensioenuitvoerder en de stabiliteit van de sector) en </w:t>
      </w:r>
      <w:r>
        <w:rPr>
          <w:rFonts w:ascii="Calibri" w:cs="Calibri" w:eastAsia="Calibri" w:hAnsi="Calibri"/>
          <w:b/>
          <w:bCs/>
          <w:sz w:val="22"/>
          <w:szCs w:val="22"/>
        </w:rPr>
        <w:t xml:space="preserve">materieel toezicht</w:t>
      </w:r>
      <w:r>
        <w:rPr>
          <w:rFonts w:ascii="Calibri" w:cs="Calibri" w:eastAsia="Calibri" w:hAnsi="Calibri"/>
          <w:sz w:val="22"/>
          <w:szCs w:val="22"/>
        </w:rPr>
        <w:t xml:space="preserve"> (overige normen die niet onder prudentieel of gedragstoezicht vallen — in de praktijk een breed "resttoezicht", bijvoorbeeld op statuten en reglementen).</w:t>
      </w:r>
    </w:p>
    <w:p>
      <w:pPr>
        <w:pStyle w:val="ListParagraph"/>
        <w:numPr>
          <w:ilvl w:val="0"/>
          <w:numId w:val="1"/>
        </w:numPr>
        <w:spacing w:after="100" w:line="280"/>
      </w:pPr>
      <w:r>
        <w:rPr>
          <w:rFonts w:ascii="Calibri" w:cs="Calibri" w:eastAsia="Calibri" w:hAnsi="Calibri"/>
          <w:b/>
          <w:bCs/>
          <w:sz w:val="22"/>
          <w:szCs w:val="22"/>
        </w:rPr>
        <w:t xml:space="preserve">De Autoriteit Financiële Markten (AFM)</w:t>
      </w:r>
      <w:r>
        <w:rPr>
          <w:rFonts w:ascii="Calibri" w:cs="Calibri" w:eastAsia="Calibri" w:hAnsi="Calibri"/>
          <w:sz w:val="22"/>
          <w:szCs w:val="22"/>
        </w:rPr>
        <w:t xml:space="preserve"> houdt </w:t>
      </w:r>
      <w:r>
        <w:rPr>
          <w:rFonts w:ascii="Calibri" w:cs="Calibri" w:eastAsia="Calibri" w:hAnsi="Calibri"/>
          <w:b/>
          <w:bCs/>
          <w:sz w:val="22"/>
          <w:szCs w:val="22"/>
        </w:rPr>
        <w:t xml:space="preserve">gedragstoezicht</w:t>
      </w:r>
      <w:r>
        <w:rPr>
          <w:rFonts w:ascii="Calibri" w:cs="Calibri" w:eastAsia="Calibri" w:hAnsi="Calibri"/>
          <w:sz w:val="22"/>
          <w:szCs w:val="22"/>
        </w:rPr>
        <w:t xml:space="preserve">: is de informatie die Meridiaan aan deelnemers verstrekt correct, duidelijk, tijdig en evenwichtig? Bij de Stelselovergang toetst de AFM specifiek het communicatieplan.</w:t>
      </w:r>
    </w:p>
    <w:p>
      <w:pPr>
        <w:spacing w:after="140" w:line="300"/>
      </w:pPr>
      <w:r>
        <w:rPr>
          <w:rFonts w:ascii="Calibri" w:cs="Calibri" w:eastAsia="Calibri" w:hAnsi="Calibri"/>
          <w:sz w:val="22"/>
          <w:szCs w:val="22"/>
        </w:rPr>
        <w:t xml:space="preserve">DNB en AFM werken bij de pensioentransitie nauw samen: onder meer via een gezamenlijke, periodieke uitvraag bij de sector, en gedeelde monitoring van de voortgang. Voor Meridiaan betekent dit dat de Stelselovergang zich verantwoordt aan </w:t>
      </w:r>
      <w:r>
        <w:rPr>
          <w:rFonts w:ascii="Calibri" w:cs="Calibri" w:eastAsia="Calibri" w:hAnsi="Calibri"/>
          <w:b/>
          <w:bCs/>
          <w:sz w:val="22"/>
          <w:szCs w:val="22"/>
        </w:rPr>
        <w:t xml:space="preserve">twee</w:t>
      </w:r>
      <w:r>
        <w:rPr>
          <w:rFonts w:ascii="Calibri" w:cs="Calibri" w:eastAsia="Calibri" w:hAnsi="Calibri"/>
          <w:sz w:val="22"/>
          <w:szCs w:val="22"/>
        </w:rPr>
        <w:t xml:space="preserve"> toezichthouders met verschillende, deels overlappende vragen — niet aan één partij met één perspectief.</w:t>
      </w:r>
    </w:p>
    <w:p>
      <w:pPr>
        <w:pStyle w:val="Heading2"/>
        <w:spacing w:after="120" w:before="200"/>
      </w:pPr>
      <w:r>
        <w:rPr>
          <w:rFonts w:ascii="Georgia" w:cs="Georgia" w:eastAsia="Georgia" w:hAnsi="Georgia"/>
          <w:b/>
          <w:bCs/>
          <w:color w:val="2563A8"/>
          <w:sz w:val="28"/>
          <w:szCs w:val="28"/>
        </w:rPr>
        <w:t xml:space="preserve">3. Verantwoording: een extra governancelaag</w:t>
      </w:r>
    </w:p>
    <w:p>
      <w:pPr>
        <w:spacing w:after="140" w:line="300"/>
      </w:pPr>
      <w:r>
        <w:rPr>
          <w:rFonts w:ascii="Calibri" w:cs="Calibri" w:eastAsia="Calibri" w:hAnsi="Calibri"/>
          <w:sz w:val="22"/>
          <w:szCs w:val="22"/>
        </w:rPr>
        <w:t xml:space="preserve">Niveau 2 (deel 14) beschreef de programmagovernance als sponsoring group → Programme Board → Programme Office. Onder toezicht komt daar een laag </w:t>
      </w:r>
      <w:r>
        <w:rPr>
          <w:rFonts w:ascii="Calibri" w:cs="Calibri" w:eastAsia="Calibri" w:hAnsi="Calibri"/>
          <w:b/>
          <w:bCs/>
          <w:sz w:val="22"/>
          <w:szCs w:val="22"/>
        </w:rPr>
        <w:t xml:space="preserve">bovenop</w:t>
      </w:r>
      <w:r>
        <w:rPr>
          <w:rFonts w:ascii="Calibri" w:cs="Calibri" w:eastAsia="Calibri" w:hAnsi="Calibri"/>
          <w:sz w:val="22"/>
          <w:szCs w:val="22"/>
        </w:rPr>
        <w:t xml:space="preserve">: de sponsoring group van Meridiaan legt op vastgestelde momenten verantwoording af aan DNB en AFM, met formele documenten die aan wettelijke eisen moeten voldoen — bijvoorbeeld een </w:t>
      </w:r>
      <w:r>
        <w:rPr>
          <w:rFonts w:ascii="Calibri" w:cs="Calibri" w:eastAsia="Calibri" w:hAnsi="Calibri"/>
          <w:b/>
          <w:bCs/>
          <w:sz w:val="22"/>
          <w:szCs w:val="22"/>
        </w:rPr>
        <w:t xml:space="preserve">implementatieplan</w:t>
      </w:r>
      <w:r>
        <w:rPr>
          <w:rFonts w:ascii="Calibri" w:cs="Calibri" w:eastAsia="Calibri" w:hAnsi="Calibri"/>
          <w:sz w:val="22"/>
          <w:szCs w:val="22"/>
        </w:rPr>
        <w:t xml:space="preserve">, ruim vóór de beoogde ingangsdatum bij DNB ingediend, en een </w:t>
      </w:r>
      <w:r>
        <w:rPr>
          <w:rFonts w:ascii="Calibri" w:cs="Calibri" w:eastAsia="Calibri" w:hAnsi="Calibri"/>
          <w:b/>
          <w:bCs/>
          <w:sz w:val="22"/>
          <w:szCs w:val="22"/>
        </w:rPr>
        <w:t xml:space="preserve">communicatieplan</w:t>
      </w:r>
      <w:r>
        <w:rPr>
          <w:rFonts w:ascii="Calibri" w:cs="Calibri" w:eastAsia="Calibri" w:hAnsi="Calibri"/>
          <w:sz w:val="22"/>
          <w:szCs w:val="22"/>
        </w:rPr>
        <w:t xml:space="preserve">, getoetst door de AFM.</w:t>
      </w:r>
    </w:p>
    <w:p>
      <w:pPr>
        <w:spacing w:after="140" w:line="300"/>
      </w:pPr>
      <w:r>
        <w:rPr>
          <w:rFonts w:ascii="Calibri" w:cs="Calibri" w:eastAsia="Calibri" w:hAnsi="Calibri"/>
          <w:sz w:val="22"/>
          <w:szCs w:val="22"/>
        </w:rPr>
        <w:t xml:space="preserve">Dit is geen vrijblijvende stakeholderrelatie (deel 19): een toezichthouder kan om nadere onderbouwing vragen, aanwijzingen geven, of in het uiterste geval maatregelen opleggen. Dat verandert de aard van de relatie fundamenteel ten opzichte van een interne stakeholder — de macht/belang-matrix (niveau 1, deel 9) plaatst een toezichthouder vrijwel altijd in het kwadrant "hoge macht", ook wanneer die zich in een gegeven fase weinig zichtbaar met het programma bemoeit.</w:t>
      </w:r>
    </w:p>
    <w:p>
      <w:pPr>
        <w:pStyle w:val="Heading2"/>
        <w:spacing w:after="120" w:before="200"/>
      </w:pPr>
      <w:r>
        <w:rPr>
          <w:rFonts w:ascii="Georgia" w:cs="Georgia" w:eastAsia="Georgia" w:hAnsi="Georgia"/>
          <w:b/>
          <w:bCs/>
          <w:color w:val="2563A8"/>
          <w:sz w:val="28"/>
          <w:szCs w:val="28"/>
        </w:rPr>
        <w:t xml:space="preserve">4. Registerwisseling: hetzelfde feit, andere nadruk</w:t>
      </w:r>
    </w:p>
    <w:p>
      <w:pPr>
        <w:spacing w:after="140" w:line="300"/>
      </w:pPr>
      <w:r>
        <w:rPr>
          <w:rFonts w:ascii="Calibri" w:cs="Calibri" w:eastAsia="Calibri" w:hAnsi="Calibri"/>
          <w:sz w:val="22"/>
          <w:szCs w:val="22"/>
        </w:rPr>
        <w:t xml:space="preserve">Een programma dat onder toezicht staat, communiceert onvermijdelijk met verschillende gehoren tegelijk: het eigen bestuur, de toezichthouder, de eigen medewerkers, deelnemers. Dat vraagt om </w:t>
      </w:r>
      <w:r>
        <w:rPr>
          <w:rFonts w:ascii="Calibri" w:cs="Calibri" w:eastAsia="Calibri" w:hAnsi="Calibri"/>
          <w:b/>
          <w:bCs/>
          <w:sz w:val="22"/>
          <w:szCs w:val="22"/>
        </w:rPr>
        <w:t xml:space="preserve">registerwisseling</w:t>
      </w:r>
      <w:r>
        <w:rPr>
          <w:rFonts w:ascii="Calibri" w:cs="Calibri" w:eastAsia="Calibri" w:hAnsi="Calibri"/>
          <w:sz w:val="22"/>
          <w:szCs w:val="22"/>
        </w:rPr>
        <w:t xml:space="preserve"> — dezelfde feiten, gepresenteerd met een andere nadruk, afgestemd op wat het gehoor nodig heeft om een goed besluit te kunnen nemen.</w:t>
      </w:r>
    </w:p>
    <w:p>
      <w:pPr>
        <w:spacing w:after="140" w:line="300"/>
      </w:pPr>
      <w:r>
        <w:rPr>
          <w:rFonts w:ascii="Calibri" w:cs="Calibri" w:eastAsia="Calibri" w:hAnsi="Calibri"/>
          <w:sz w:val="22"/>
          <w:szCs w:val="22"/>
        </w:rPr>
        <w:t xml:space="preserve">De grens hierbij is scherp en niet onderhandelbaar: </w:t>
      </w:r>
      <w:r>
        <w:rPr>
          <w:rFonts w:ascii="Calibri" w:cs="Calibri" w:eastAsia="Calibri" w:hAnsi="Calibri"/>
          <w:b/>
          <w:bCs/>
          <w:sz w:val="22"/>
          <w:szCs w:val="22"/>
        </w:rPr>
        <w:t xml:space="preserve">het register bepaalt de nadruk, nooit de feiten</w:t>
      </w:r>
      <w:r>
        <w:rPr>
          <w:rFonts w:ascii="Calibri" w:cs="Calibri" w:eastAsia="Calibri" w:hAnsi="Calibri"/>
          <w:sz w:val="22"/>
          <w:szCs w:val="22"/>
        </w:rPr>
        <w:t xml:space="preserve">. Tegen het bestuur kun je de nadruk leggen op strategische voortgang en risicobeheersing; tegen de toezichthouder op naleving en aantoonbare zorgvuldigheid; tegen medewerkers op wat er concreet voor hen verandert. Maar een risico dat aan het bestuur wordt gemeld, mag nooit worden verzwegen richting de toezichthouder, en omgekeerd. Registerwisseling is een communicatievaardigheid; het selectief weglaten van feiten al naar gelang het gehoor is geen registerwisseling meer, maar misleiding — en bij een toezichthouder bovendien een ernstige overtreding met eigen consequenties.</w:t>
      </w:r>
    </w:p>
    <w:p>
      <w:pPr>
        <w:pStyle w:val="Heading2"/>
        <w:spacing w:after="120" w:before="200"/>
      </w:pPr>
      <w:r>
        <w:rPr>
          <w:rFonts w:ascii="Georgia" w:cs="Georgia" w:eastAsia="Georgia" w:hAnsi="Georgia"/>
          <w:b/>
          <w:bCs/>
          <w:color w:val="2563A8"/>
          <w:sz w:val="28"/>
          <w:szCs w:val="28"/>
        </w:rPr>
        <w:t xml:space="preserve">5. Wat dit betekent voor assurance</w:t>
      </w:r>
    </w:p>
    <w:p>
      <w:pPr>
        <w:spacing w:after="140" w:line="300"/>
      </w:pPr>
      <w:r>
        <w:rPr>
          <w:rFonts w:ascii="Calibri" w:cs="Calibri" w:eastAsia="Calibri" w:hAnsi="Calibri"/>
          <w:sz w:val="22"/>
          <w:szCs w:val="22"/>
        </w:rPr>
        <w:t xml:space="preserve">De drie verdedigingslinies uit niveau 2 (deel 18, §4) krijgen onder toezicht extra gewicht: een toezichthouder verwacht vaak expliciet bewijs dat de </w:t>
      </w:r>
      <w:r>
        <w:rPr>
          <w:rFonts w:ascii="Calibri" w:cs="Calibri" w:eastAsia="Calibri" w:hAnsi="Calibri"/>
          <w:b/>
          <w:bCs/>
          <w:sz w:val="22"/>
          <w:szCs w:val="22"/>
        </w:rPr>
        <w:t xml:space="preserve">derde lijn</w:t>
      </w:r>
      <w:r>
        <w:rPr>
          <w:rFonts w:ascii="Calibri" w:cs="Calibri" w:eastAsia="Calibri" w:hAnsi="Calibri"/>
          <w:sz w:val="22"/>
          <w:szCs w:val="22"/>
        </w:rPr>
        <w:t xml:space="preserve"> (onafhankelijke toetsing) daadwerkelijk functioneert, niet alleen op papier bestaat. Bij de beoordeling van bijvoorbeeld een invaarverzoek (deel 25) voert DNB doorgaans een intensief, inhoudelijk gesprek met de pensioenuitvoerder — een externe vorm van diezelfde derde-lijns-toetsing, nu uitgevoerd door de toezichthouder zelf in plaats van door een interne auditfunctie.</w:t>
      </w:r>
    </w:p>
    <w:p>
      <w:pPr>
        <w:pStyle w:val="Heading2"/>
        <w:spacing w:after="120" w:before="200"/>
      </w:pPr>
      <w:r>
        <w:rPr>
          <w:rFonts w:ascii="Georgia" w:cs="Georgia" w:eastAsia="Georgia" w:hAnsi="Georgia"/>
          <w:b/>
          <w:bCs/>
          <w:color w:val="2563A8"/>
          <w:sz w:val="28"/>
          <w:szCs w:val="28"/>
        </w:rPr>
        <w:t xml:space="preserve">6. Toegepast op de Stelselovergang</w:t>
      </w:r>
    </w:p>
    <w:p>
      <w:pPr>
        <w:spacing w:after="140" w:line="300"/>
      </w:pPr>
      <w:r>
        <w:rPr>
          <w:rFonts w:ascii="Calibri" w:cs="Calibri" w:eastAsia="Calibri" w:hAnsi="Calibri"/>
          <w:sz w:val="22"/>
          <w:szCs w:val="22"/>
        </w:rPr>
        <w:t xml:space="preserve">Bij de Stelselovergang van Meridiaan: de sponsoring group (deel 14) bereidt het implementatieplan voor, dat geruime tijd vóór de beoogde ingangsdatum bij DNB wordt ingediend; het communicatieplan gaat naar de AFM. Beide documenten bevatten dezelfde onderliggende feiten over de transitie — de wijze van invaren, de risicohouding, het beleggingsbeleid — maar met andere nadruk: het implementatieplan legt de nadruk op technische uitvoerbaarheid en risicobeheersing (DNB's prudentiële focus), het communicatieplan op begrijpelijkheid en zorgvuldigheid richting deelnemers (AFM's gedragsfocus). Beide documenten moeten, bij nauwkeurige vergelijking, volledig met elkaar te rijmen zijn — geen tegenstrijdige feiten, alleen een verschil in nadruk.</w:t>
      </w:r>
    </w:p>
    <w:p>
      <w:pPr>
        <w:pStyle w:val="Heading2"/>
        <w:spacing w:after="120" w:before="200"/>
      </w:pPr>
      <w:r>
        <w:rPr>
          <w:rFonts w:ascii="Georgia" w:cs="Georgia" w:eastAsia="Georgia" w:hAnsi="Georgia"/>
          <w:b/>
          <w:bCs/>
          <w:color w:val="2563A8"/>
          <w:sz w:val="28"/>
          <w:szCs w:val="28"/>
        </w:rPr>
        <w:t xml:space="preserve">7. Vooruitblik</w:t>
      </w:r>
    </w:p>
    <w:p>
      <w:pPr>
        <w:spacing w:after="140" w:line="300"/>
      </w:pPr>
      <w:r>
        <w:rPr>
          <w:rFonts w:ascii="Calibri" w:cs="Calibri" w:eastAsia="Calibri" w:hAnsi="Calibri"/>
          <w:sz w:val="22"/>
          <w:szCs w:val="22"/>
        </w:rPr>
        <w:t xml:space="preserve">Deel 25 behandelt de kern van de Stelselovergang zelf: transitie en invaren — hoe bestaande pensioenrechten en -aanspraken worden overgebracht naar het nieuwe stelsel, de rol van datakwaliteit daarbij, en waarom dit besluit vrijwel onomkeerbaar is zodra het eenmaal is genomen.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24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2026-08-17T08:30:14.408Z</dcterms:created>
  <dcterms:modified xsi:type="dcterms:W3CDTF">2026-08-17T08:30:14.410Z</dcterms:modified>
</cp:coreProperties>
</file>

<file path=docProps/custom.xml><?xml version="1.0" encoding="utf-8"?>
<Properties xmlns="http://schemas.openxmlformats.org/officeDocument/2006/custom-properties" xmlns:vt="http://schemas.openxmlformats.org/officeDocument/2006/docPropsVTypes"/>
</file>