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25 — Transitie en invaren: datakwaliteit, onomkeerbaarheid, go/no-go</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25 (deel 3 van niveau 3)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het besef laten landen dat sommige besluiten fundamenteel anders zijn dan de meeste PRINCE2/MSP-besluiten uit niveau 1-2, omdat ze — eenmaal uitgevoerd — niet kunnen worden teruggedraaid. Dit rechtvaardigt de extra zwaarte van datakwaliteitscontrole, onafhankelijke toetsing en scenarioanalyse die dit deel behandelt.</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24, introductie: de kern van de Stelselovergang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invaren inhoudt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25.1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Datakwaliteit als kritieke succesfactor: KDE's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25.2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Onafhankelijke toetsing en robuustheid testen (reader §4–5)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25.3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go/no-go-moment en onomkeerbaarheid (reader §6–7) + opdracht 25.4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Bij opdracht 25.1c is de instinker dat "gunstiger" ook een vorm van onevenredigheid kan zijn als het ten koste gaat van een andere groep.</w:t>
      </w:r>
      <w:r>
        <w:rPr>
          <w:rFonts w:ascii="Calibri" w:cs="Calibri" w:eastAsia="Calibri" w:hAnsi="Calibri"/>
          <w:sz w:val="22"/>
          <w:szCs w:val="22"/>
        </w:rPr>
        <w:t xml:space="preserve"> Laat expliciet doorvragen: onevenredig ongunstig wordt beoordeeld per groep, dus een voordeel voor de ene groep zegt niets over de positie van een andere.</w:t>
      </w:r>
    </w:p>
    <w:p>
      <w:pPr>
        <w:pStyle w:val="ListParagraph"/>
        <w:numPr>
          <w:ilvl w:val="0"/>
          <w:numId w:val="1"/>
        </w:numPr>
        <w:spacing w:after="100" w:line="280"/>
      </w:pPr>
      <w:r>
        <w:rPr>
          <w:rFonts w:ascii="Calibri" w:cs="Calibri" w:eastAsia="Calibri" w:hAnsi="Calibri"/>
          <w:b/>
          <w:bCs/>
          <w:sz w:val="22"/>
          <w:szCs w:val="22"/>
        </w:rPr>
        <w:t xml:space="preserve">Bij opdracht 25.2 is het doel niet één "juiste" volgorde, maar het toepassen van dezelfde kans×impact-redenering uit niveau 1 (deel 6) op een nieuw domein (data).</w:t>
      </w:r>
      <w:r>
        <w:rPr>
          <w:rFonts w:ascii="Calibri" w:cs="Calibri" w:eastAsia="Calibri" w:hAnsi="Calibri"/>
          <w:sz w:val="22"/>
          <w:szCs w:val="22"/>
        </w:rPr>
        <w:t xml:space="preserve"> Besteed extra aandacht aan (b): bekend foutgevoelig én hoge impact zou normaal gesproken de hoogste prioriteit krijgen, ook al is de bron ervan (een ouder, overgenomen systeem) minder zichtbaar dan bijvoorbeeld geboortedatum.</w:t>
      </w:r>
    </w:p>
    <w:p>
      <w:pPr>
        <w:pStyle w:val="ListParagraph"/>
        <w:numPr>
          <w:ilvl w:val="0"/>
          <w:numId w:val="1"/>
        </w:numPr>
        <w:spacing w:after="100" w:line="280"/>
      </w:pPr>
      <w:r>
        <w:rPr>
          <w:rFonts w:ascii="Calibri" w:cs="Calibri" w:eastAsia="Calibri" w:hAnsi="Calibri"/>
          <w:b/>
          <w:bCs/>
          <w:sz w:val="22"/>
          <w:szCs w:val="22"/>
        </w:rPr>
        <w:t xml:space="preserve">Bij opdracht 25.3 is de kernles dat scenarioanalyse vóór een onomkeerbaar besluit fundamenteel andere waarde heeft dan bij een omkeerbaar besluit</w:t>
      </w:r>
      <w:r>
        <w:rPr>
          <w:rFonts w:ascii="Calibri" w:cs="Calibri" w:eastAsia="Calibri" w:hAnsi="Calibri"/>
          <w:sz w:val="22"/>
          <w:szCs w:val="22"/>
        </w:rPr>
        <w:t xml:space="preserve"> — bij een programma dat nog kan bijsturen (zoals een Tranche Review, niveau 2 deel 15) is een gemist scenario een aanpassing; bij invaren is een gemist scenario een probleem dat pas ná uitvoering aan het licht komt, wanneer bijsturen niet meer mogelijk is.</w:t>
      </w:r>
    </w:p>
    <w:p>
      <w:pPr>
        <w:pStyle w:val="ListParagraph"/>
        <w:numPr>
          <w:ilvl w:val="0"/>
          <w:numId w:val="1"/>
        </w:numPr>
        <w:spacing w:after="100" w:line="280"/>
      </w:pPr>
      <w:r>
        <w:rPr>
          <w:rFonts w:ascii="Calibri" w:cs="Calibri" w:eastAsia="Calibri" w:hAnsi="Calibri"/>
          <w:b/>
          <w:bCs/>
          <w:sz w:val="22"/>
          <w:szCs w:val="22"/>
        </w:rPr>
        <w:t xml:space="preserve">Bij opdracht 25.4 is het onderscheidende kenmerk niet de omvang van het besluit, maar of er een praktische, betaalbare weg terug bestaat.</w:t>
      </w:r>
      <w:r>
        <w:rPr>
          <w:rFonts w:ascii="Calibri" w:cs="Calibri" w:eastAsia="Calibri" w:hAnsi="Calibri"/>
          <w:sz w:val="22"/>
          <w:szCs w:val="22"/>
        </w:rPr>
        <w:t xml:space="preserve"> Laat dit expliciet benoemen: een technische terugval (b) is een ontwerpkeuze die vooraf kan worden ingebouwd; bij invaren bestaat zo'n ingebouwde terugvaloptie principieel niet op dezelfde manier.</w:t>
      </w:r>
    </w:p>
    <w:p>
      <w:pPr>
        <w:pStyle w:val="Heading2"/>
        <w:spacing w:after="120" w:before="200"/>
      </w:pPr>
      <w:r>
        <w:rPr>
          <w:rFonts w:ascii="Georgia" w:cs="Georgia" w:eastAsia="Georgia" w:hAnsi="Georgia"/>
          <w:b/>
          <w:bCs/>
          <w:color w:val="2563A8"/>
          <w:sz w:val="28"/>
          <w:szCs w:val="28"/>
        </w:rPr>
        <w:t xml:space="preserve">Modelantwoorden — Opdracht 25.1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Mogelijk onevenredig ongunstig — een verloren garantie zonder compenserend voordeel is precies het soort situatie dat de wettelijke uitzondering beoogt te vangen.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Waarschijnlijk niet onevenredig ongunstig — een vergelijkbare aanpassing voor alle deelnemers wijst niet op een specifieke, disproportioneel getroffen groep.</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Geen onevenredig ongunstige situatie voor déze groep, maar mogelijk relevant om te toetsen of een ándere groep daardoor juist wordt benadeeld — vandaar de noodzaak om per groep te beoordelen, niet alleen in algemene termen.</w:t>
      </w:r>
    </w:p>
    <w:p>
      <w:pPr>
        <w:pStyle w:val="Heading2"/>
        <w:spacing w:after="120" w:before="200"/>
      </w:pPr>
      <w:r>
        <w:rPr>
          <w:rFonts w:ascii="Georgia" w:cs="Georgia" w:eastAsia="Georgia" w:hAnsi="Georgia"/>
          <w:b/>
          <w:bCs/>
          <w:color w:val="2563A8"/>
          <w:sz w:val="28"/>
          <w:szCs w:val="28"/>
        </w:rPr>
        <w:t xml:space="preserve">Modelantwoorden — Opdracht 25.2</w:t>
      </w:r>
    </w:p>
    <w:p>
      <w:pPr>
        <w:spacing w:after="140" w:line="300"/>
      </w:pPr>
      <w:r>
        <w:rPr>
          <w:rFonts w:ascii="Calibri" w:cs="Calibri" w:eastAsia="Calibri" w:hAnsi="Calibri"/>
          <w:sz w:val="22"/>
          <w:szCs w:val="22"/>
        </w:rPr>
        <w:t xml:space="preserve">Een plausibele prioriteitsvolgorde: (b) hoogste prioriteit — bekend foutgevoelig én hoge impact; (d) hoge prioriteit — matige foutkans maar hoge impact, extra aandacht vanwege handmatige invoer; (a) lagere prioriteit ondanks hoge impact, omdat de foutkans laag is — wel behouden als aandachtspunt, niet als grootste risico; (c) laagste prioriteit voor dít doel, ook al is opvolging voor communicatiedoeleinden apart relevant.</w:t>
      </w:r>
    </w:p>
    <w:p>
      <w:pPr>
        <w:pStyle w:val="Heading2"/>
        <w:spacing w:after="120" w:before="200"/>
      </w:pPr>
      <w:r>
        <w:rPr>
          <w:rFonts w:ascii="Georgia" w:cs="Georgia" w:eastAsia="Georgia" w:hAnsi="Georgia"/>
          <w:b/>
          <w:bCs/>
          <w:color w:val="2563A8"/>
          <w:sz w:val="28"/>
          <w:szCs w:val="28"/>
        </w:rPr>
        <w:t xml:space="preserve">Modelantwoord — Opdracht 25.3</w:t>
      </w:r>
    </w:p>
    <w:p>
      <w:pPr>
        <w:spacing w:after="140" w:line="300"/>
      </w:pPr>
      <w:r>
        <w:rPr>
          <w:rFonts w:ascii="Calibri" w:cs="Calibri" w:eastAsia="Calibri" w:hAnsi="Calibri"/>
          <w:sz w:val="22"/>
          <w:szCs w:val="22"/>
        </w:rPr>
        <w:t xml:space="preserve">Voorbeeld: een scherpe rentedaling vlak vóór de beoogde ingangsdatum zou de financiële ruimte voor compensatieafspraken onder druk kunnen zetten. Het is waardevol dit vóór het go/no-go-moment te weten, omdat het bestuur dan nog kan besluiten de afspraken zelf robuuster te maken (bijvoorbeeld een bredere bandbreedte), terwijl na uitvoering van het invaren geen ruimte meer bestaat om de gemaakte keuzes met terugwerkende kracht aan te passen.</w:t>
      </w:r>
    </w:p>
    <w:p>
      <w:pPr>
        <w:pStyle w:val="Heading2"/>
        <w:spacing w:after="120" w:before="200"/>
      </w:pPr>
      <w:r>
        <w:rPr>
          <w:rFonts w:ascii="Georgia" w:cs="Georgia" w:eastAsia="Georgia" w:hAnsi="Georgia"/>
          <w:b/>
          <w:bCs/>
          <w:color w:val="2563A8"/>
          <w:sz w:val="28"/>
          <w:szCs w:val="28"/>
        </w:rPr>
        <w:t xml:space="preserve">Modelantwoord — Opdracht 25.4</w:t>
      </w:r>
    </w:p>
    <w:p>
      <w:pPr>
        <w:spacing w:after="140" w:line="300"/>
      </w:pPr>
      <w:r>
        <w:rPr>
          <w:rFonts w:ascii="Calibri" w:cs="Calibri" w:eastAsia="Calibri" w:hAnsi="Calibri"/>
          <w:sz w:val="22"/>
          <w:szCs w:val="22"/>
        </w:rPr>
        <w:t xml:space="preserve">a is vergelijkbaar met invaren: eenmaal uitgevoerd, is er geen praktische weg terug zonder een geheel nieuw, kostbaar en complex traject. b is niet vergelijkbaar: een technische terugvaloptie is een bewuste ontwerpkeuze die vooraf wordt ingebouwd, en het teruggaan naar de vorige versie is relatief eenvoudig en snel uit te voeren. Het onderscheidende kenmerk: bestaat er een praktische, tijdig uitvoerbare weg terug, of niet.</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Voorbeelden zullen sterk variëren (bijvoorbeeld: een fusie van twee organisaties, een onomkeerbare medische ingreep, het slopen van een gebouw). Laat de nabespreking zich richten op het gemeenschappelijke patroon: hoe zwaarder de onomkeerbaarheid, hoe zwaarder de vereiste vooraf-controle (datakwaliteit-equivalent), onafhankelijke toetsing en scenario-analyse vóór het definitieve besluit.</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elke collectieve waardeoverdracht hetzelfde als invaren?"</w:t>
      </w:r>
      <w:r>
        <w:rPr>
          <w:rFonts w:ascii="Calibri" w:cs="Calibri" w:eastAsia="Calibri" w:hAnsi="Calibri"/>
          <w:sz w:val="22"/>
          <w:szCs w:val="22"/>
        </w:rPr>
        <w:t xml:space="preserve"> Nee — invaren is een specifieke vorm binnen de Wtp-transitie; er bestaan ook reguliere collectieve waardeoverdrachten met een lichter regime, met eigen onderbouwings- en informatievereisten.</w:t>
      </w:r>
    </w:p>
    <w:p>
      <w:pPr>
        <w:pStyle w:val="ListParagraph"/>
        <w:numPr>
          <w:ilvl w:val="0"/>
          <w:numId w:val="1"/>
        </w:numPr>
        <w:spacing w:after="100" w:line="280"/>
      </w:pPr>
      <w:r>
        <w:rPr>
          <w:rFonts w:ascii="Calibri" w:cs="Calibri" w:eastAsia="Calibri" w:hAnsi="Calibri"/>
          <w:i/>
          <w:iCs/>
          <w:sz w:val="22"/>
          <w:szCs w:val="22"/>
        </w:rPr>
        <w:t xml:space="preserve">"Kan een pensioenfonds na een go-besluit alsnog stoppen als er vlak vóór uitvoering iets naar boven komt?"</w:t>
      </w:r>
      <w:r>
        <w:rPr>
          <w:rFonts w:ascii="Calibri" w:cs="Calibri" w:eastAsia="Calibri" w:hAnsi="Calibri"/>
          <w:sz w:val="22"/>
          <w:szCs w:val="22"/>
        </w:rPr>
        <w:t xml:space="preserve"> In theorie kan een bestuur besluiten niet door te gaan zolang de daadwerkelijke uitvoering nog niet heeft plaatsgevonden — precies waarom het go/no-go-moment zo zorgvuldig wordt ingericht; ná daadwerkelijke uitvoering is dat principieel niet meer mogelijk.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25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2026-08-17T08:30:32.637Z</dcterms:created>
  <dcterms:modified xsi:type="dcterms:W3CDTF">2026-08-17T08:30:32.637Z</dcterms:modified>
</cp:coreProperties>
</file>

<file path=docProps/custom.xml><?xml version="1.0" encoding="utf-8"?>
<Properties xmlns="http://schemas.openxmlformats.org/officeDocument/2006/custom-properties" xmlns:vt="http://schemas.openxmlformats.org/officeDocument/2006/docPropsVTypes"/>
</file>