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25 — Transitie en invaren: datakwaliteit, onomkeerbaarheid, go/no-go</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1. De kern van de Stelselovergang</w:t>
      </w:r>
    </w:p>
    <w:p>
      <w:pPr>
        <w:spacing w:after="140" w:line="300"/>
      </w:pPr>
      <w:r>
        <w:rPr>
          <w:rFonts w:ascii="Calibri" w:cs="Calibri" w:eastAsia="Calibri" w:hAnsi="Calibri"/>
          <w:sz w:val="22"/>
          <w:szCs w:val="22"/>
        </w:rPr>
        <w:t xml:space="preserve">Dit deel behandelt het hart van de casus die niveau 3 draagt: </w:t>
      </w:r>
      <w:r>
        <w:rPr>
          <w:rFonts w:ascii="Calibri" w:cs="Calibri" w:eastAsia="Calibri" w:hAnsi="Calibri"/>
          <w:b/>
          <w:bCs/>
          <w:sz w:val="22"/>
          <w:szCs w:val="22"/>
        </w:rPr>
        <w:t xml:space="preserve">invaren</w:t>
      </w:r>
      <w:r>
        <w:rPr>
          <w:rFonts w:ascii="Calibri" w:cs="Calibri" w:eastAsia="Calibri" w:hAnsi="Calibri"/>
          <w:sz w:val="22"/>
          <w:szCs w:val="22"/>
        </w:rPr>
        <w:t xml:space="preserve"> — de collectieve waardeoverdracht van bestaande pensioenaanspraken en -rechten naar het nieuwe pensioenstelsel. Waar deel 24 behandelde hoe een programma zich verantwoordt aan toezichthouders, behandelt dit deel waaróm die verantwoording bij invaren zo zwaar weegt: het gaat om een besluit dat, eenmaal uitgevoerd, vrijwel niet is terug te draaien.</w:t>
      </w:r>
    </w:p>
    <w:p>
      <w:pPr>
        <w:pStyle w:val="Heading2"/>
        <w:spacing w:after="120" w:before="200"/>
      </w:pPr>
      <w:r>
        <w:rPr>
          <w:rFonts w:ascii="Georgia" w:cs="Georgia" w:eastAsia="Georgia" w:hAnsi="Georgia"/>
          <w:b/>
          <w:bCs/>
          <w:color w:val="2563A8"/>
          <w:sz w:val="28"/>
          <w:szCs w:val="28"/>
        </w:rPr>
        <w:t xml:space="preserve">2. Wat invaren inhoudt</w:t>
      </w:r>
    </w:p>
    <w:p>
      <w:pPr>
        <w:spacing w:after="140" w:line="300"/>
      </w:pPr>
      <w:r>
        <w:rPr>
          <w:rFonts w:ascii="Calibri" w:cs="Calibri" w:eastAsia="Calibri" w:hAnsi="Calibri"/>
          <w:sz w:val="22"/>
          <w:szCs w:val="22"/>
        </w:rPr>
        <w:t xml:space="preserve">Sociale partners (werkgevers en vakbonden) stellen een </w:t>
      </w:r>
      <w:r>
        <w:rPr>
          <w:rFonts w:ascii="Calibri" w:cs="Calibri" w:eastAsia="Calibri" w:hAnsi="Calibri"/>
          <w:b/>
          <w:bCs/>
          <w:sz w:val="22"/>
          <w:szCs w:val="22"/>
        </w:rPr>
        <w:t xml:space="preserve">transitieplan</w:t>
      </w:r>
      <w:r>
        <w:rPr>
          <w:rFonts w:ascii="Calibri" w:cs="Calibri" w:eastAsia="Calibri" w:hAnsi="Calibri"/>
          <w:sz w:val="22"/>
          <w:szCs w:val="22"/>
        </w:rPr>
        <w:t xml:space="preserve"> op, waarin alle keuzes, overwegingen en berekeningen over de gewijzigde pensioenregeling zijn vastgelegd — inclusief de keuze om het pensioenfonds al dan niet te vragen in te varen. De hoofdregel is dat wordt ingevaren, tenzij dat voor een bepaalde groep belanghebbenden </w:t>
      </w:r>
      <w:r>
        <w:rPr>
          <w:rFonts w:ascii="Calibri" w:cs="Calibri" w:eastAsia="Calibri" w:hAnsi="Calibri"/>
          <w:b/>
          <w:bCs/>
          <w:sz w:val="22"/>
          <w:szCs w:val="22"/>
        </w:rPr>
        <w:t xml:space="preserve">onevenredig ongunstig</w:t>
      </w:r>
      <w:r>
        <w:rPr>
          <w:rFonts w:ascii="Calibri" w:cs="Calibri" w:eastAsia="Calibri" w:hAnsi="Calibri"/>
          <w:sz w:val="22"/>
          <w:szCs w:val="22"/>
        </w:rPr>
        <w:t xml:space="preserve"> zou zijn — bijvoorbeeld wanneer bestaande garanties (zoals bijstortingsverplichtingen) daardoor verloren zouden gaan zonder dat de voordelen van invaren dat rechtvaardigen.</w:t>
      </w:r>
    </w:p>
    <w:p>
      <w:pPr>
        <w:spacing w:after="140" w:line="300"/>
      </w:pPr>
      <w:r>
        <w:rPr>
          <w:rFonts w:ascii="Calibri" w:cs="Calibri" w:eastAsia="Calibri" w:hAnsi="Calibri"/>
          <w:sz w:val="22"/>
          <w:szCs w:val="22"/>
        </w:rPr>
        <w:t xml:space="preserve">Meridiaan, als pensioenuitvoerder, beoordeelt vervolgens of het de gewijzigde pensioenovereenkomst en het eventuele invaarverzoek kan uitvoeren, met inachtneming van een </w:t>
      </w:r>
      <w:r>
        <w:rPr>
          <w:rFonts w:ascii="Calibri" w:cs="Calibri" w:eastAsia="Calibri" w:hAnsi="Calibri"/>
          <w:b/>
          <w:bCs/>
          <w:sz w:val="22"/>
          <w:szCs w:val="22"/>
        </w:rPr>
        <w:t xml:space="preserve">evenwichtige belangenafweging</w:t>
      </w:r>
      <w:r>
        <w:rPr>
          <w:rFonts w:ascii="Calibri" w:cs="Calibri" w:eastAsia="Calibri" w:hAnsi="Calibri"/>
          <w:sz w:val="22"/>
          <w:szCs w:val="22"/>
        </w:rPr>
        <w:t xml:space="preserve"> en een beheerste en integere bedrijfsvoering — dezelfde soort brede, meerdere-belangen-afweging als de macht/belang-analyse uit niveau 1 en 2, nu met wettelijk gewicht.</w:t>
      </w:r>
    </w:p>
    <w:p>
      <w:pPr>
        <w:pStyle w:val="Heading2"/>
        <w:spacing w:after="120" w:before="200"/>
      </w:pPr>
      <w:r>
        <w:rPr>
          <w:rFonts w:ascii="Georgia" w:cs="Georgia" w:eastAsia="Georgia" w:hAnsi="Georgia"/>
          <w:b/>
          <w:bCs/>
          <w:color w:val="2563A8"/>
          <w:sz w:val="28"/>
          <w:szCs w:val="28"/>
        </w:rPr>
        <w:t xml:space="preserve">3. Datakwaliteit als kritieke succesfactor</w:t>
      </w:r>
    </w:p>
    <w:p>
      <w:pPr>
        <w:spacing w:after="140" w:line="300"/>
      </w:pPr>
      <w:r>
        <w:rPr>
          <w:rFonts w:ascii="Calibri" w:cs="Calibri" w:eastAsia="Calibri" w:hAnsi="Calibri"/>
          <w:sz w:val="22"/>
          <w:szCs w:val="22"/>
        </w:rPr>
        <w:t xml:space="preserve">Invaren vereist expliciet dat Meridiaan aangeeft hoe de kwaliteit van de data wordt zeker­gesteld, </w:t>
      </w:r>
      <w:r>
        <w:rPr>
          <w:rFonts w:ascii="Calibri" w:cs="Calibri" w:eastAsia="Calibri" w:hAnsi="Calibri"/>
          <w:b/>
          <w:bCs/>
          <w:sz w:val="22"/>
          <w:szCs w:val="22"/>
        </w:rPr>
        <w:t xml:space="preserve">vóór, tijdens en ná</w:t>
      </w:r>
      <w:r>
        <w:rPr>
          <w:rFonts w:ascii="Calibri" w:cs="Calibri" w:eastAsia="Calibri" w:hAnsi="Calibri"/>
          <w:sz w:val="22"/>
          <w:szCs w:val="22"/>
        </w:rPr>
        <w:t xml:space="preserve"> de transitie — dit is geen bijzaak maar een wettelijke vereiste in het implementatieplan (deel 24, §3). De aanpak die toezichthouders als goede praktijk erkennen, werkt met </w:t>
      </w:r>
      <w:r>
        <w:rPr>
          <w:rFonts w:ascii="Calibri" w:cs="Calibri" w:eastAsia="Calibri" w:hAnsi="Calibri"/>
          <w:b/>
          <w:bCs/>
          <w:sz w:val="22"/>
          <w:szCs w:val="22"/>
        </w:rPr>
        <w:t xml:space="preserve">kritieke data-elementen (KDE's)</w:t>
      </w:r>
      <w:r>
        <w:rPr>
          <w:rFonts w:ascii="Calibri" w:cs="Calibri" w:eastAsia="Calibri" w:hAnsi="Calibri"/>
          <w:sz w:val="22"/>
          <w:szCs w:val="22"/>
        </w:rPr>
        <w:t xml:space="preserve">: niet alle data is even risicovol, dus wordt per KDE een risicobeoordeling gemaakt.</w:t>
      </w:r>
    </w:p>
    <w:p>
      <w:pPr>
        <w:spacing w:after="140" w:line="300"/>
      </w:pPr>
      <w:r>
        <w:rPr>
          <w:rFonts w:ascii="Calibri" w:cs="Calibri" w:eastAsia="Calibri" w:hAnsi="Calibri"/>
          <w:sz w:val="22"/>
          <w:szCs w:val="22"/>
        </w:rPr>
        <w:t xml:space="preserve">Een sterke aanpak gaat daarbij verder dan een standaardlijst: risicogroepen worden vastgesteld op basis van de </w:t>
      </w:r>
      <w:r>
        <w:rPr>
          <w:rFonts w:ascii="Calibri" w:cs="Calibri" w:eastAsia="Calibri" w:hAnsi="Calibri"/>
          <w:b/>
          <w:bCs/>
          <w:sz w:val="22"/>
          <w:szCs w:val="22"/>
        </w:rPr>
        <w:t xml:space="preserve">fondsspecifieke situatie</w:t>
      </w:r>
      <w:r>
        <w:rPr>
          <w:rFonts w:ascii="Calibri" w:cs="Calibri" w:eastAsia="Calibri" w:hAnsi="Calibri"/>
          <w:sz w:val="22"/>
          <w:szCs w:val="22"/>
        </w:rPr>
        <w:t xml:space="preserve"> — de specifieke pensioenregeling, eerdere inkomende waardeoverdrachten, en historische klachten, events en incidenten. Dit is dezelfde risicoredenering als in niveau 1 (deel 6: probability × impact) en niveau 2 (deel 18: geaggregeerd risico), nu specifiek toegepast op </w:t>
      </w:r>
      <w:r>
        <w:rPr>
          <w:rFonts w:ascii="Calibri" w:cs="Calibri" w:eastAsia="Calibri" w:hAnsi="Calibri"/>
          <w:b/>
          <w:bCs/>
          <w:sz w:val="22"/>
          <w:szCs w:val="22"/>
        </w:rPr>
        <w:t xml:space="preserve">datakwaliteit</w:t>
      </w:r>
      <w:r>
        <w:rPr>
          <w:rFonts w:ascii="Calibri" w:cs="Calibri" w:eastAsia="Calibri" w:hAnsi="Calibri"/>
          <w:sz w:val="22"/>
          <w:szCs w:val="22"/>
        </w:rPr>
        <w:t xml:space="preserve"> als risicodomein: niet elk datagebrek is even ernstig, en de beoordeling moet zowel de kans op fouten als de impact ervan op individuele aanspraken meewegen — niet een kale foutpercentage, maar een risicoclassificatie die kans en gevolg combineert.</w:t>
      </w:r>
    </w:p>
    <w:p>
      <w:pPr>
        <w:pStyle w:val="Heading2"/>
        <w:spacing w:after="120" w:before="200"/>
      </w:pPr>
      <w:r>
        <w:rPr>
          <w:rFonts w:ascii="Georgia" w:cs="Georgia" w:eastAsia="Georgia" w:hAnsi="Georgia"/>
          <w:b/>
          <w:bCs/>
          <w:color w:val="2563A8"/>
          <w:sz w:val="28"/>
          <w:szCs w:val="28"/>
        </w:rPr>
        <w:t xml:space="preserve">4. Onafhankelijke toetsing van de data</w:t>
      </w:r>
    </w:p>
    <w:p>
      <w:pPr>
        <w:spacing w:after="140" w:line="300"/>
      </w:pPr>
      <w:r>
        <w:rPr>
          <w:rFonts w:ascii="Calibri" w:cs="Calibri" w:eastAsia="Calibri" w:hAnsi="Calibri"/>
          <w:sz w:val="22"/>
          <w:szCs w:val="22"/>
        </w:rPr>
        <w:t xml:space="preserve">Bij invaren wordt vaak een externe accountant ingeschakeld voor specifiek overeengekomen werkzaamheden ("Agreed Upon Procedures") rond datakwaliteit — die rapporteert of er </w:t>
      </w:r>
      <w:r>
        <w:rPr>
          <w:rFonts w:ascii="Calibri" w:cs="Calibri" w:eastAsia="Calibri" w:hAnsi="Calibri"/>
          <w:b/>
          <w:bCs/>
          <w:sz w:val="22"/>
          <w:szCs w:val="22"/>
        </w:rPr>
        <w:t xml:space="preserve">geen blokkerende bijzonderheden</w:t>
      </w:r>
      <w:r>
        <w:rPr>
          <w:rFonts w:ascii="Calibri" w:cs="Calibri" w:eastAsia="Calibri" w:hAnsi="Calibri"/>
          <w:sz w:val="22"/>
          <w:szCs w:val="22"/>
        </w:rPr>
        <w:t xml:space="preserve"> zijn gevonden. Dit is een concrete, sector-specifieke vorm van de derde verdedigingslinie uit niveau 2 (deel 18, §4): een partij die volledig onafhankelijk van het programmateam een oordeel geeft, specifiek op het punt waar de gevolgen van fouten het grootst zijn.</w:t>
      </w:r>
    </w:p>
    <w:p>
      <w:pPr>
        <w:pStyle w:val="Heading2"/>
        <w:spacing w:after="120" w:before="200"/>
      </w:pPr>
      <w:r>
        <w:rPr>
          <w:rFonts w:ascii="Georgia" w:cs="Georgia" w:eastAsia="Georgia" w:hAnsi="Georgia"/>
          <w:b/>
          <w:bCs/>
          <w:color w:val="2563A8"/>
          <w:sz w:val="28"/>
          <w:szCs w:val="28"/>
        </w:rPr>
        <w:t xml:space="preserve">5. Robuustheid testen: goed weer, slecht weer</w:t>
      </w:r>
    </w:p>
    <w:p>
      <w:pPr>
        <w:spacing w:after="140" w:line="300"/>
      </w:pPr>
      <w:r>
        <w:rPr>
          <w:rFonts w:ascii="Calibri" w:cs="Calibri" w:eastAsia="Calibri" w:hAnsi="Calibri"/>
          <w:sz w:val="22"/>
          <w:szCs w:val="22"/>
        </w:rPr>
        <w:t xml:space="preserve">Omdat het invaarbesluit vaak wordt genomen ruim vóórdat het daadwerkelijk wordt uitgevoerd, kunnen de economische omstandigheden op het moment van uitvoering afwijken van de omstandigheden bij besluitvorming. Een robuuste aanpak rekent daarom door hoe het besluit standhoudt onder verschillende scenario's — inclusief expliciete </w:t>
      </w:r>
      <w:r>
        <w:rPr>
          <w:rFonts w:ascii="Calibri" w:cs="Calibri" w:eastAsia="Calibri" w:hAnsi="Calibri"/>
          <w:b/>
          <w:bCs/>
          <w:sz w:val="22"/>
          <w:szCs w:val="22"/>
        </w:rPr>
        <w:t xml:space="preserve">"goed weer" en "slecht weer"-scenario's</w:t>
      </w:r>
      <w:r>
        <w:rPr>
          <w:rFonts w:ascii="Calibri" w:cs="Calibri" w:eastAsia="Calibri" w:hAnsi="Calibri"/>
          <w:sz w:val="22"/>
          <w:szCs w:val="22"/>
        </w:rPr>
        <w:t xml:space="preserve"> — om te toetsen of de gemaakte afspraken ook onder ongunstige omstandigheden houdbaar blijven. Dit is dezelfde scenariodenken-logica als bij risicomanagement (niveau 1, deel 6) en de vier besluiten bij een Tranche Review (niveau 2, deel 13, 15), nu toegepast op een besluit dat, eenmaal genomen en uitgevoerd, niet meer kan worden teruggedraaid als de omstandigheden onverwacht tegenvallen.</w:t>
      </w:r>
    </w:p>
    <w:p>
      <w:pPr>
        <w:pStyle w:val="Heading2"/>
        <w:spacing w:after="120" w:before="200"/>
      </w:pPr>
      <w:r>
        <w:rPr>
          <w:rFonts w:ascii="Georgia" w:cs="Georgia" w:eastAsia="Georgia" w:hAnsi="Georgia"/>
          <w:b/>
          <w:bCs/>
          <w:color w:val="2563A8"/>
          <w:sz w:val="28"/>
          <w:szCs w:val="28"/>
        </w:rPr>
        <w:t xml:space="preserve">6. Het go/no-go-moment</w:t>
      </w:r>
    </w:p>
    <w:p>
      <w:pPr>
        <w:spacing w:after="140" w:line="300"/>
      </w:pPr>
      <w:r>
        <w:rPr>
          <w:rFonts w:ascii="Calibri" w:cs="Calibri" w:eastAsia="Calibri" w:hAnsi="Calibri"/>
          <w:sz w:val="22"/>
          <w:szCs w:val="22"/>
        </w:rPr>
        <w:t xml:space="preserve">Het bestuur (algemeen bestuur, AB) stelt expliciet een </w:t>
      </w:r>
      <w:r>
        <w:rPr>
          <w:rFonts w:ascii="Calibri" w:cs="Calibri" w:eastAsia="Calibri" w:hAnsi="Calibri"/>
          <w:b/>
          <w:bCs/>
          <w:sz w:val="22"/>
          <w:szCs w:val="22"/>
        </w:rPr>
        <w:t xml:space="preserve">go/no-go-proces</w:t>
      </w:r>
      <w:r>
        <w:rPr>
          <w:rFonts w:ascii="Calibri" w:cs="Calibri" w:eastAsia="Calibri" w:hAnsi="Calibri"/>
          <w:sz w:val="22"/>
          <w:szCs w:val="22"/>
        </w:rPr>
        <w:t xml:space="preserve"> vast: een formeel, welbewust ingebouwd beslismoment vlak vóór de daadwerkelijke uitvoering van het invaren. Dit is vergelijkbaar met een Tranche Review (niveau 2, deel 15, §5) — maar met een fundamenteel verschil: waar een programma na een Tranche Review nog kan bijsturen, pauzeren of zelfs vroegtijdig sluiten (niveau 2, deel 13, §5), is er bij invaren geen vergelijkbare weg terug zodra het go-besluit eenmaal is uitgevoerd.</w:t>
      </w:r>
    </w:p>
    <w:p>
      <w:pPr>
        <w:pStyle w:val="Heading2"/>
        <w:spacing w:after="120" w:before="200"/>
      </w:pPr>
      <w:r>
        <w:rPr>
          <w:rFonts w:ascii="Georgia" w:cs="Georgia" w:eastAsia="Georgia" w:hAnsi="Georgia"/>
          <w:b/>
          <w:bCs/>
          <w:color w:val="2563A8"/>
          <w:sz w:val="28"/>
          <w:szCs w:val="28"/>
        </w:rPr>
        <w:t xml:space="preserve">7. Waarom dit vrijwel onomkeerbaar is</w:t>
      </w:r>
    </w:p>
    <w:p>
      <w:pPr>
        <w:spacing w:after="140" w:line="300"/>
      </w:pPr>
      <w:r>
        <w:rPr>
          <w:rFonts w:ascii="Calibri" w:cs="Calibri" w:eastAsia="Calibri" w:hAnsi="Calibri"/>
          <w:sz w:val="22"/>
          <w:szCs w:val="22"/>
        </w:rPr>
        <w:t xml:space="preserve">Zodra pensioenaanspraken en -rechten zijn overgebracht naar het nieuwe stelsel, zijn ze </w:t>
      </w:r>
      <w:r>
        <w:rPr>
          <w:rFonts w:ascii="Calibri" w:cs="Calibri" w:eastAsia="Calibri" w:hAnsi="Calibri"/>
          <w:b/>
          <w:bCs/>
          <w:sz w:val="22"/>
          <w:szCs w:val="22"/>
        </w:rPr>
        <w:t xml:space="preserve">structureel</w:t>
      </w:r>
      <w:r>
        <w:rPr>
          <w:rFonts w:ascii="Calibri" w:cs="Calibri" w:eastAsia="Calibri" w:hAnsi="Calibri"/>
          <w:sz w:val="22"/>
          <w:szCs w:val="22"/>
        </w:rPr>
        <w:t xml:space="preserve"> verwerkt: individuele aanspraken zijn herberekend en toegekend, administraties zijn aangepast, en het juridische fundament waarop de oude aanspraken rustten, bestaat niet meer op dezelfde manier. Dit is wezenlijk anders dan een IT-systeem terugzetten naar een vorige versie: het gaat om een juridische en financiële herverdeling die niet ongedaan gemaakt kan worden zonder opnieuw enorme, kostbare en juridisch complexe inspanningen — en vaak zonder garantie dat de oorspronkelijke situatie precies is te herstellen.</w:t>
      </w:r>
    </w:p>
    <w:p>
      <w:pPr>
        <w:spacing w:after="140" w:line="300"/>
      </w:pPr>
      <w:r>
        <w:rPr>
          <w:rFonts w:ascii="Calibri" w:cs="Calibri" w:eastAsia="Calibri" w:hAnsi="Calibri"/>
          <w:sz w:val="22"/>
          <w:szCs w:val="22"/>
        </w:rPr>
        <w:t xml:space="preserve">Precies daarom wegen datakwaliteit (§3), onafhankelijke toetsing (§4) en robuustheidstoetsing (§5) zo zwaar: fouten die vóór het go/no-go-moment niet worden gevonden, zijn na uitvoering veel duurder — soms onmogelijk — te herstellen. Dit is de meest indringende, praktische illustratie van waarom PRINCE2's principe 1 (continued business justification, niveau 1 deel 2) en MSP's herijkingslogica (niveau 2, deel 13) zo'n nadruk leggen op vroegtijdig, eerlijk beoordelen — bij een onomkeerbaar besluit is er geen tweede kans om het bij te sturen.</w:t>
      </w:r>
    </w:p>
    <w:p>
      <w:pPr>
        <w:pStyle w:val="Heading2"/>
        <w:spacing w:after="120" w:before="200"/>
      </w:pPr>
      <w:r>
        <w:rPr>
          <w:rFonts w:ascii="Georgia" w:cs="Georgia" w:eastAsia="Georgia" w:hAnsi="Georgia"/>
          <w:b/>
          <w:bCs/>
          <w:color w:val="2563A8"/>
          <w:sz w:val="28"/>
          <w:szCs w:val="28"/>
        </w:rPr>
        <w:t xml:space="preserve">8. Toegepast op de Stelselovergang bij Meridiaan</w:t>
      </w:r>
    </w:p>
    <w:p>
      <w:pPr>
        <w:spacing w:after="140" w:line="300"/>
      </w:pPr>
      <w:r>
        <w:rPr>
          <w:rFonts w:ascii="Calibri" w:cs="Calibri" w:eastAsia="Calibri" w:hAnsi="Calibri"/>
          <w:sz w:val="22"/>
          <w:szCs w:val="22"/>
        </w:rPr>
        <w:t xml:space="preserve">Meridiaan's implementatieplan bevat een risicobeoordeling per kritiek data-element, gebaseerd op de eigen deelnemerspopulatie en historische klachten over onjuiste pensioenopgaven (niveau 2, deel 12's voorbeeld van een gerelateerd initiatief). Een externe accountant toetst, kort vóór het go/no-go-moment, of er geen blokkerende datakwaliteitsproblemen resteren. Het bestuur rekent het besluit door onder een gunstig en een ongunstig economisch scenario, en stelt pas daarna het formele go/no-go-moment vast — wetende dat een fout die na uitvoering aan het licht komt, niet met een simpele correctie is te herstellen.</w:t>
      </w:r>
    </w:p>
    <w:p>
      <w:pPr>
        <w:pStyle w:val="Heading2"/>
        <w:spacing w:after="120" w:before="200"/>
      </w:pPr>
      <w:r>
        <w:rPr>
          <w:rFonts w:ascii="Georgia" w:cs="Georgia" w:eastAsia="Georgia" w:hAnsi="Georgia"/>
          <w:b/>
          <w:bCs/>
          <w:color w:val="2563A8"/>
          <w:sz w:val="28"/>
          <w:szCs w:val="28"/>
        </w:rPr>
        <w:t xml:space="preserve">9. Vooruitblik</w:t>
      </w:r>
    </w:p>
    <w:p>
      <w:pPr>
        <w:spacing w:after="140" w:line="300"/>
      </w:pPr>
      <w:r>
        <w:rPr>
          <w:rFonts w:ascii="Calibri" w:cs="Calibri" w:eastAsia="Calibri" w:hAnsi="Calibri"/>
          <w:sz w:val="22"/>
          <w:szCs w:val="22"/>
        </w:rPr>
        <w:t xml:space="preserve">Deel 26 behandelt wat er gebeurt wanneer, ondanks alle voorbereiding, tóch een probleem aan het licht komt — hoe je verdedigbaar stopt of herprioriteert, op basis van bijdrage in plaats van wat er al is geïnvesteerd.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25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2026-08-17T08:30:32.480Z</dcterms:created>
  <dcterms:modified xsi:type="dcterms:W3CDTF">2026-08-17T08:30:32.481Z</dcterms:modified>
</cp:coreProperties>
</file>

<file path=docProps/custom.xml><?xml version="1.0" encoding="utf-8"?>
<Properties xmlns="http://schemas.openxmlformats.org/officeDocument/2006/custom-properties" xmlns:vt="http://schemas.openxmlformats.org/officeDocument/2006/docPropsVTypes"/>
</file>