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26 — Verdedigbaar stoppen en herprioriteren</w:t>
      </w:r>
    </w:p>
    <w:p>
      <w:pPr>
        <w:spacing w:after="300"/>
      </w:pPr>
      <w:r>
        <w:rPr>
          <w:rFonts w:ascii="Calibri" w:cs="Calibri" w:eastAsia="Calibri" w:hAnsi="Calibri"/>
          <w:i/>
          <w:iCs/>
          <w:color w:val="2563A8"/>
          <w:sz w:val="22"/>
          <w:szCs w:val="22"/>
        </w:rPr>
        <w:t xml:space="preserve">Niveau 3 Expert · Project- en Programmamanagement</w:t>
      </w:r>
    </w:p>
    <w:p>
      <w:pPr>
        <w:spacing w:after="140" w:line="300"/>
      </w:pPr>
      <w:r>
        <w:rPr>
          <w:rFonts w:ascii="Calibri" w:cs="Calibri" w:eastAsia="Calibri" w:hAnsi="Calibri"/>
          <w:b/>
          <w:bCs/>
          <w:sz w:val="22"/>
          <w:szCs w:val="22"/>
        </w:rPr>
        <w:t xml:space="preserve">Dagdeel:</w:t>
      </w:r>
      <w:r>
        <w:rPr>
          <w:rFonts w:ascii="Calibri" w:cs="Calibri" w:eastAsia="Calibri" w:hAnsi="Calibri"/>
          <w:sz w:val="22"/>
          <w:szCs w:val="22"/>
        </w:rPr>
        <w:t xml:space="preserve"> 26 (deel 4 van niveau 3) · </w:t>
      </w:r>
      <w:r>
        <w:rPr>
          <w:rFonts w:ascii="Calibri" w:cs="Calibri" w:eastAsia="Calibri" w:hAnsi="Calibri"/>
          <w:b/>
          <w:bCs/>
          <w:sz w:val="22"/>
          <w:szCs w:val="22"/>
        </w:rPr>
        <w:t xml:space="preserve">Duur:</w:t>
      </w:r>
      <w:r>
        <w:rPr>
          <w:rFonts w:ascii="Calibri" w:cs="Calibri" w:eastAsia="Calibri" w:hAnsi="Calibri"/>
          <w:sz w:val="22"/>
          <w:szCs w:val="22"/>
        </w:rPr>
        <w:t xml:space="preserve"> circa 3 uur, inclusief pauze</w:t>
      </w:r>
    </w:p>
    <w:p>
      <w:pPr>
        <w:spacing w:after="140" w:line="300"/>
      </w:pPr>
      <w:r>
        <w:rPr>
          <w:rFonts w:ascii="Calibri" w:cs="Calibri" w:eastAsia="Calibri" w:hAnsi="Calibri"/>
          <w:b/>
          <w:bCs/>
          <w:sz w:val="22"/>
          <w:szCs w:val="22"/>
        </w:rPr>
        <w:t xml:space="preserve">Doel van dit deel:</w:t>
      </w:r>
      <w:r>
        <w:rPr>
          <w:rFonts w:ascii="Calibri" w:cs="Calibri" w:eastAsia="Calibri" w:hAnsi="Calibri"/>
          <w:sz w:val="22"/>
          <w:szCs w:val="22"/>
        </w:rPr>
        <w:t xml:space="preserve"> deelnemers een herhaalbare, emotioneel haalbare structuur meegeven om een stop- of aanpassingsadvies te formuleren — juist omdat dit soort besluiten in de praktijk zo vaak worden vermeden of uitgesteld vanwege sunk cost-denken en politieke druk.</w:t>
      </w:r>
    </w:p>
    <w:p>
      <w:pPr>
        <w:pStyle w:val="Heading2"/>
        <w:spacing w:after="120" w:before="200"/>
      </w:pPr>
      <w:r>
        <w:rPr>
          <w:rFonts w:ascii="Georgia" w:cs="Georgia" w:eastAsia="Georgia" w:hAnsi="Georgia"/>
          <w:b/>
          <w:bCs/>
          <w:color w:val="2563A8"/>
          <w:sz w:val="28"/>
          <w:szCs w:val="28"/>
        </w:rPr>
        <w:t xml:space="preserve">Opbouw en timing</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25, introductie: wanneer voorbereiding niet genoeg blijkt (reader §1)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sunk cost-valkuil (reader §2)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0:35–0:45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26.1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 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0:45–1:00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Prioriteren op bijdrage (reader §3)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1:00–1:10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anatomie van een stopadvies: vier elementen (reader §4)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1:35–2:05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26.2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2:05–2:20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Herprioriteren als tussenweg (reader §5) + opdracht 26.3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 + klassikaal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2:20–2:28</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26.4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Klassikaal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2:28–2:30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Vooruitblik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pStyle w:val="Heading2"/>
        <w:spacing w:after="120" w:before="200"/>
      </w:pPr>
      <w:r>
        <w:rPr>
          <w:rFonts w:ascii="Georgia" w:cs="Georgia" w:eastAsia="Georgia" w:hAnsi="Georgia"/>
          <w:b/>
          <w:bCs/>
          <w:color w:val="2563A8"/>
          <w:sz w:val="28"/>
          <w:szCs w:val="28"/>
        </w:rPr>
        <w:t xml:space="preserve">Didactische aanwijzingen</w:t>
      </w:r>
    </w:p>
    <w:p>
      <w:pPr>
        <w:pStyle w:val="ListParagraph"/>
        <w:numPr>
          <w:ilvl w:val="0"/>
          <w:numId w:val="1"/>
        </w:numPr>
        <w:spacing w:after="100" w:line="280"/>
      </w:pPr>
      <w:r>
        <w:rPr>
          <w:rFonts w:ascii="Calibri" w:cs="Calibri" w:eastAsia="Calibri" w:hAnsi="Calibri"/>
          <w:b/>
          <w:bCs/>
          <w:sz w:val="22"/>
          <w:szCs w:val="22"/>
        </w:rPr>
        <w:t xml:space="preserve">Bij opdracht 26.1 is de kern dat sunk cost-taal vaak subtiel is — niet altijd een letterlijke "we hebben al zoveel geïnvesteerd."</w:t>
      </w:r>
      <w:r>
        <w:rPr>
          <w:rFonts w:ascii="Calibri" w:cs="Calibri" w:eastAsia="Calibri" w:hAnsi="Calibri"/>
          <w:sz w:val="22"/>
          <w:szCs w:val="22"/>
        </w:rPr>
        <w:t xml:space="preserve"> Laat expliciet benoemen welk woord of welke frase in elke uitspraak naar het verleden in plaats van de toekomst wijst (bijvoorbeeld "politiek kapitaal" in c).</w:t>
      </w:r>
    </w:p>
    <w:p>
      <w:pPr>
        <w:pStyle w:val="ListParagraph"/>
        <w:numPr>
          <w:ilvl w:val="0"/>
          <w:numId w:val="1"/>
        </w:numPr>
        <w:spacing w:after="100" w:line="280"/>
      </w:pPr>
      <w:r>
        <w:rPr>
          <w:rFonts w:ascii="Calibri" w:cs="Calibri" w:eastAsia="Calibri" w:hAnsi="Calibri"/>
          <w:b/>
          <w:bCs/>
          <w:sz w:val="22"/>
          <w:szCs w:val="22"/>
        </w:rPr>
        <w:t xml:space="preserve">Opdracht 26.2 is het zwaartepunt van dit deel — geef er ruim de tijd voor en loop actief rond.</w:t>
      </w:r>
      <w:r>
        <w:rPr>
          <w:rFonts w:ascii="Calibri" w:cs="Calibri" w:eastAsia="Calibri" w:hAnsi="Calibri"/>
          <w:sz w:val="22"/>
          <w:szCs w:val="22"/>
        </w:rPr>
        <w:t xml:space="preserve"> De valkuil is dat groepen bij "erkende bijdrage" te snel voorbijgaan of bij "lot van het werk" te vaag blijven ("we bekijken het dan wel"). Stuur door te vragen: "wat zou je, concreet, morgen al kunnen zeggen over wat er met het bestaande werk gebeurt?"</w:t>
      </w:r>
    </w:p>
    <w:p>
      <w:pPr>
        <w:pStyle w:val="ListParagraph"/>
        <w:numPr>
          <w:ilvl w:val="0"/>
          <w:numId w:val="1"/>
        </w:numPr>
        <w:spacing w:after="100" w:line="280"/>
      </w:pPr>
      <w:r>
        <w:rPr>
          <w:rFonts w:ascii="Calibri" w:cs="Calibri" w:eastAsia="Calibri" w:hAnsi="Calibri"/>
          <w:b/>
          <w:bCs/>
          <w:sz w:val="22"/>
          <w:szCs w:val="22"/>
        </w:rPr>
        <w:t xml:space="preserve">Bij opdracht 26.3 is (b) de meest onderscheidende situatie — een fundamentele koerswijziging die het doel niet verandert.</w:t>
      </w:r>
      <w:r>
        <w:rPr>
          <w:rFonts w:ascii="Calibri" w:cs="Calibri" w:eastAsia="Calibri" w:hAnsi="Calibri"/>
          <w:sz w:val="22"/>
          <w:szCs w:val="22"/>
        </w:rPr>
        <w:t xml:space="preserve"> Dit is precies het soort situatie waar deelnemers geneigd zijn naar "stoppen" te grijpen omdat het voelt als een groot probleem, terwijl "herprioriteren/aanpassen" vaak het passendere advies is.</w:t>
      </w:r>
    </w:p>
    <w:p>
      <w:pPr>
        <w:pStyle w:val="ListParagraph"/>
        <w:numPr>
          <w:ilvl w:val="0"/>
          <w:numId w:val="1"/>
        </w:numPr>
        <w:spacing w:after="100" w:line="280"/>
      </w:pPr>
      <w:r>
        <w:rPr>
          <w:rFonts w:ascii="Calibri" w:cs="Calibri" w:eastAsia="Calibri" w:hAnsi="Calibri"/>
          <w:b/>
          <w:bCs/>
          <w:sz w:val="22"/>
          <w:szCs w:val="22"/>
        </w:rPr>
        <w:t xml:space="preserve">Bij opdracht 26.4 is het doel een concreet kenmerk te destilleren, geen abstracte definitie.</w:t>
      </w:r>
      <w:r>
        <w:rPr>
          <w:rFonts w:ascii="Calibri" w:cs="Calibri" w:eastAsia="Calibri" w:hAnsi="Calibri"/>
          <w:sz w:val="22"/>
          <w:szCs w:val="22"/>
        </w:rPr>
        <w:t xml:space="preserve"> Een bruikbaar antwoord noemt bijvoorbeeld: een duidelijke aanbeveling mét onderbouwing, expliciete erkenning dat de uiteindelijke keuze aan de governancelaag is, en ruimte voor die laag om af te wijken van de aanbeveling zonder dat het advies daarmee "fout" was.</w:t>
      </w:r>
    </w:p>
    <w:p>
      <w:pPr>
        <w:pStyle w:val="Heading2"/>
        <w:spacing w:after="120" w:before="200"/>
      </w:pPr>
      <w:r>
        <w:rPr>
          <w:rFonts w:ascii="Georgia" w:cs="Georgia" w:eastAsia="Georgia" w:hAnsi="Georgia"/>
          <w:b/>
          <w:bCs/>
          <w:color w:val="2563A8"/>
          <w:sz w:val="28"/>
          <w:szCs w:val="28"/>
        </w:rPr>
        <w:t xml:space="preserve">Modelantwoorden — Opdracht 26.1</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Sunk cost — herschrijving: "gegeven de resterende, beperkte scope en wat die nog oplevert, is doorgaan de betere keuze" (let op: de conclusie kan hetzelfde zijn, maar de redenering moet naar voren kijken).</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Geen sunk cost — dit kijkt al correct naar de toekomst.</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Sunk cost — herschrijving: "gegeven wat terugkomen nu zou betekenen voor de resterende risico's en baten, is [doorgaan/stoppen] de betere keuze" — politiek kapitaal is zelf geen valide argument, wel de gevolgen van een koerswijziging voor de toekomst.</w:t>
      </w:r>
    </w:p>
    <w:p>
      <w:pPr>
        <w:pStyle w:val="Heading2"/>
        <w:spacing w:after="120" w:before="200"/>
      </w:pPr>
      <w:r>
        <w:rPr>
          <w:rFonts w:ascii="Georgia" w:cs="Georgia" w:eastAsia="Georgia" w:hAnsi="Georgia"/>
          <w:b/>
          <w:bCs/>
          <w:color w:val="2563A8"/>
          <w:sz w:val="28"/>
          <w:szCs w:val="28"/>
        </w:rPr>
        <w:t xml:space="preserve">Modelantwoord — Opdracht 26.2</w:t>
      </w:r>
    </w:p>
    <w:p>
      <w:pPr>
        <w:spacing w:after="140" w:line="300"/>
      </w:pPr>
      <w:r>
        <w:rPr>
          <w:rFonts w:ascii="Calibri" w:cs="Calibri" w:eastAsia="Calibri" w:hAnsi="Calibri"/>
          <w:sz w:val="22"/>
          <w:szCs w:val="22"/>
        </w:rPr>
        <w:t xml:space="preserve">Voorbeeld van een sterk antwoord:</w:t>
      </w:r>
    </w:p>
    <w:p>
      <w:pPr>
        <w:pStyle w:val="ListParagraph"/>
        <w:numPr>
          <w:ilvl w:val="0"/>
          <w:numId w:val="1"/>
        </w:numPr>
        <w:spacing w:after="100" w:line="280"/>
      </w:pPr>
      <w:r>
        <w:rPr>
          <w:rFonts w:ascii="Calibri" w:cs="Calibri" w:eastAsia="Calibri" w:hAnsi="Calibri"/>
          <w:sz w:val="22"/>
          <w:szCs w:val="22"/>
        </w:rPr>
        <w:t xml:space="preserve">Erkende bijdrage: de governance- en communicatievoorbereiding is grotendeels op orde; het probleem zit specifiek in datakwaliteit, niet in de bredere transitieaanpak.</w:t>
      </w:r>
    </w:p>
    <w:p>
      <w:pPr>
        <w:pStyle w:val="ListParagraph"/>
        <w:numPr>
          <w:ilvl w:val="0"/>
          <w:numId w:val="1"/>
        </w:numPr>
        <w:spacing w:after="100" w:line="280"/>
      </w:pPr>
      <w:r>
        <w:rPr>
          <w:rFonts w:ascii="Calibri" w:cs="Calibri" w:eastAsia="Calibri" w:hAnsi="Calibri"/>
          <w:sz w:val="22"/>
          <w:szCs w:val="22"/>
        </w:rPr>
        <w:t xml:space="preserve">Relatieve afweging: doorgaan met de volledige populatie brengt een substantieel risico op onjuiste aanspraken voor een groot deel van de deelnemers met zich mee, met potentieel onomkeerbare gevolgen (deel 25, §7); een gefaseerde aanpak — eerst de goed gecontroleerde delen, dan de rest na aanvullende datacorrectie — beperkt dit risico aanzienlijk, tegen de prijs van vertraging en extra kosten voor hercontrole.</w:t>
      </w:r>
    </w:p>
    <w:p>
      <w:pPr>
        <w:pStyle w:val="ListParagraph"/>
        <w:numPr>
          <w:ilvl w:val="0"/>
          <w:numId w:val="1"/>
        </w:numPr>
        <w:spacing w:after="100" w:line="280"/>
      </w:pPr>
      <w:r>
        <w:rPr>
          <w:rFonts w:ascii="Calibri" w:cs="Calibri" w:eastAsia="Calibri" w:hAnsi="Calibri"/>
          <w:sz w:val="22"/>
          <w:szCs w:val="22"/>
        </w:rPr>
        <w:t xml:space="preserve">Lot van het werk: de reeds gecontroleerde en akkoord bevonden data blijft bruikbaar; het transitieplan en de governancestructuur hoeven niet te worden herzien, alleen de uitvoeringsvolgorde.</w:t>
      </w:r>
    </w:p>
    <w:p>
      <w:pPr>
        <w:pStyle w:val="ListParagraph"/>
        <w:numPr>
          <w:ilvl w:val="0"/>
          <w:numId w:val="1"/>
        </w:numPr>
        <w:spacing w:after="100" w:line="280"/>
      </w:pPr>
      <w:r>
        <w:rPr>
          <w:rFonts w:ascii="Calibri" w:cs="Calibri" w:eastAsia="Calibri" w:hAnsi="Calibri"/>
          <w:sz w:val="22"/>
          <w:szCs w:val="22"/>
        </w:rPr>
        <w:t xml:space="preserve">Besluit: de programmadirecteur legt dit als formeel advies voor aan het bestuur, met een expliciete aanbeveling voor gefaseerde uitvoering, maar laat de uiteindelijke keuze — inclusief eventueel volledig uitstel — aan het bestuur.</w:t>
      </w:r>
    </w:p>
    <w:p>
      <w:pPr>
        <w:pStyle w:val="Heading2"/>
        <w:spacing w:after="120" w:before="200"/>
      </w:pPr>
      <w:r>
        <w:rPr>
          <w:rFonts w:ascii="Georgia" w:cs="Georgia" w:eastAsia="Georgia" w:hAnsi="Georgia"/>
          <w:b/>
          <w:bCs/>
          <w:color w:val="2563A8"/>
          <w:sz w:val="28"/>
          <w:szCs w:val="28"/>
        </w:rPr>
        <w:t xml:space="preserve">Modelantwoorden — Opdracht 26.3</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Doorgaan — een eenmalige, goed verklaarde uitloop met een kleine resterende scope rechtvaardigt geen ingrijpender besluit.</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Herprioriteren/aanpassen — het doel blijft relevant, alleen de aanpak moet veranderen.</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Stoppen — als geen van de beoogde baten meer haalbaar is, ongeacht de aanpak, is doorgaan niet langer verdedigbaar (principe 1, niveau 1 deel 2).</w:t>
      </w:r>
    </w:p>
    <w:p>
      <w:pPr>
        <w:pStyle w:val="Heading2"/>
        <w:spacing w:after="120" w:before="200"/>
      </w:pPr>
      <w:r>
        <w:rPr>
          <w:rFonts w:ascii="Georgia" w:cs="Georgia" w:eastAsia="Georgia" w:hAnsi="Georgia"/>
          <w:b/>
          <w:bCs/>
          <w:color w:val="2563A8"/>
          <w:sz w:val="28"/>
          <w:szCs w:val="28"/>
        </w:rPr>
        <w:t xml:space="preserve">Modelantwoord — Opdracht 26.4</w:t>
      </w:r>
    </w:p>
    <w:p>
      <w:pPr>
        <w:spacing w:after="140" w:line="300"/>
      </w:pPr>
      <w:r>
        <w:rPr>
          <w:rFonts w:ascii="Calibri" w:cs="Calibri" w:eastAsia="Calibri" w:hAnsi="Calibri"/>
          <w:sz w:val="22"/>
          <w:szCs w:val="22"/>
        </w:rPr>
        <w:t xml:space="preserve">Een goed advies bevat: een heldere aanbeveling met expliciete onderbouwing langs de vier elementen (reader §4), een uitgesproken erkenning dat het formele besluit bij de governancelaag ligt, en ruimte om af te wijken zonder dat dit het advies "ongeldig" maakt. Het verschil tussen adviseren en overnemen zit in taal: "ik adviseer X, met deze onderbouwing" in plaats van "we gaan X doen."</w:t>
      </w:r>
    </w:p>
    <w:p>
      <w:pPr>
        <w:pStyle w:val="Heading2"/>
        <w:spacing w:after="120" w:before="200"/>
      </w:pPr>
      <w:r>
        <w:rPr>
          <w:rFonts w:ascii="Georgia" w:cs="Georgia" w:eastAsia="Georgia" w:hAnsi="Georgia"/>
          <w:b/>
          <w:bCs/>
          <w:color w:val="2563A8"/>
          <w:sz w:val="28"/>
          <w:szCs w:val="28"/>
        </w:rPr>
        <w:t xml:space="preserve">Veelgestelde vragen</w:t>
      </w:r>
    </w:p>
    <w:p>
      <w:pPr>
        <w:pStyle w:val="ListParagraph"/>
        <w:numPr>
          <w:ilvl w:val="0"/>
          <w:numId w:val="1"/>
        </w:numPr>
        <w:spacing w:after="100" w:line="280"/>
      </w:pPr>
      <w:r>
        <w:rPr>
          <w:rFonts w:ascii="Calibri" w:cs="Calibri" w:eastAsia="Calibri" w:hAnsi="Calibri"/>
          <w:i/>
          <w:iCs/>
          <w:sz w:val="22"/>
          <w:szCs w:val="22"/>
        </w:rPr>
        <w:t xml:space="preserve">"Is het niet demotiverend voor het team om een stopadvies te formuleren?"</w:t>
      </w:r>
      <w:r>
        <w:rPr>
          <w:rFonts w:ascii="Calibri" w:cs="Calibri" w:eastAsia="Calibri" w:hAnsi="Calibri"/>
          <w:sz w:val="22"/>
          <w:szCs w:val="22"/>
        </w:rPr>
        <w:t xml:space="preserve"> Precies daarom is "erkende bijdrage" het eerste element — een goed stopadvies erkent expliciet wat het team heeft bereikt, in plaats van het geheel als mislukking weg te zetten.</w:t>
      </w:r>
    </w:p>
    <w:p>
      <w:pPr>
        <w:pStyle w:val="ListParagraph"/>
        <w:numPr>
          <w:ilvl w:val="0"/>
          <w:numId w:val="1"/>
        </w:numPr>
        <w:spacing w:after="100" w:line="280"/>
      </w:pPr>
      <w:r>
        <w:rPr>
          <w:rFonts w:ascii="Calibri" w:cs="Calibri" w:eastAsia="Calibri" w:hAnsi="Calibri"/>
          <w:i/>
          <w:iCs/>
          <w:sz w:val="22"/>
          <w:szCs w:val="22"/>
        </w:rPr>
        <w:t xml:space="preserve">"Wat als de governancelaag het advies negeert en toch doorgaat, ondanks een duidelijk stopadvies?"</w:t>
      </w:r>
      <w:r>
        <w:rPr>
          <w:rFonts w:ascii="Calibri" w:cs="Calibri" w:eastAsia="Calibri" w:hAnsi="Calibri"/>
          <w:sz w:val="22"/>
          <w:szCs w:val="22"/>
        </w:rPr>
        <w:t xml:space="preserve"> Dat is hun goed recht — het besluit ligt bij hen (reader §4, punt 4); de rol van de projectmanager of programmamanager is een eerlijk, goed onderbouwd advies te geven, niet het besluit af te dwingen. Dit thema — wat te doen als een advies wordt genegeerd — komt in deel 27 (ethiek) verder aan bod.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3 Expert · Deel 26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2026-08-17T08:29:51.703Z</dcterms:created>
  <dcterms:modified xsi:type="dcterms:W3CDTF">2026-08-17T08:29:51.703Z</dcterms:modified>
</cp:coreProperties>
</file>

<file path=docProps/custom.xml><?xml version="1.0" encoding="utf-8"?>
<Properties xmlns="http://schemas.openxmlformats.org/officeDocument/2006/custom-properties" xmlns:vt="http://schemas.openxmlformats.org/officeDocument/2006/docPropsVTypes"/>
</file>