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26 — Verdedigbaar stoppen en herprioriteren</w:t>
      </w:r>
    </w:p>
    <w:p>
      <w:pPr>
        <w:spacing w:after="300"/>
      </w:pPr>
      <w:r>
        <w:rPr>
          <w:rFonts w:ascii="Calibri" w:cs="Calibri" w:eastAsia="Calibri" w:hAnsi="Calibri"/>
          <w:i/>
          <w:iCs/>
          <w:color w:val="2563A8"/>
          <w:sz w:val="22"/>
          <w:szCs w:val="22"/>
        </w:rPr>
        <w:t xml:space="preserve">Niveau 3 Expert · Project- en Programmamanagement</w:t>
      </w:r>
    </w:p>
    <w:p>
      <w:pPr>
        <w:pStyle w:val="Heading2"/>
        <w:spacing w:after="120" w:before="200"/>
      </w:pPr>
      <w:r>
        <w:rPr>
          <w:rFonts w:ascii="Georgia" w:cs="Georgia" w:eastAsia="Georgia" w:hAnsi="Georgia"/>
          <w:b/>
          <w:bCs/>
          <w:color w:val="2563A8"/>
          <w:sz w:val="28"/>
          <w:szCs w:val="28"/>
        </w:rPr>
        <w:t xml:space="preserve">1. Wanneer voorbereiding niet genoeg blijkt</w:t>
      </w:r>
    </w:p>
    <w:p>
      <w:pPr>
        <w:spacing w:after="140" w:line="300"/>
      </w:pPr>
      <w:r>
        <w:rPr>
          <w:rFonts w:ascii="Calibri" w:cs="Calibri" w:eastAsia="Calibri" w:hAnsi="Calibri"/>
          <w:sz w:val="22"/>
          <w:szCs w:val="22"/>
        </w:rPr>
        <w:t xml:space="preserve">Deel 25 behandelde hoe zorgvuldige voorbereiding — datakwaliteitscontrole, onafhankelijke toetsing, scenarioanalyse — het risico bij een onomkeerbaar besluit als invaren beheersbaar maakt. Maar geen enkele voorbereiding sluit uit dat er, ondanks alles, vlak vóór of zelfs ná een belangrijk beslismoment tóch een probleem naar boven komt. Dit deel behandelt hoe je in zo'n situatie </w:t>
      </w:r>
      <w:r>
        <w:rPr>
          <w:rFonts w:ascii="Calibri" w:cs="Calibri" w:eastAsia="Calibri" w:hAnsi="Calibri"/>
          <w:b/>
          <w:bCs/>
          <w:sz w:val="22"/>
          <w:szCs w:val="22"/>
        </w:rPr>
        <w:t xml:space="preserve">verdedigbaar</w:t>
      </w:r>
      <w:r>
        <w:rPr>
          <w:rFonts w:ascii="Calibri" w:cs="Calibri" w:eastAsia="Calibri" w:hAnsi="Calibri"/>
          <w:sz w:val="22"/>
          <w:szCs w:val="22"/>
        </w:rPr>
        <w:t xml:space="preserve"> besluit: doorgaan, herprioriteren, of stoppen — op basis van heldere argumentatie, niet van paniek of koppigheid.</w:t>
      </w:r>
    </w:p>
    <w:p>
      <w:pPr>
        <w:pStyle w:val="Heading2"/>
        <w:spacing w:after="120" w:before="200"/>
      </w:pPr>
      <w:r>
        <w:rPr>
          <w:rFonts w:ascii="Georgia" w:cs="Georgia" w:eastAsia="Georgia" w:hAnsi="Georgia"/>
          <w:b/>
          <w:bCs/>
          <w:color w:val="2563A8"/>
          <w:sz w:val="28"/>
          <w:szCs w:val="28"/>
        </w:rPr>
        <w:t xml:space="preserve">2. De sunk cost-valkuil</w:t>
      </w:r>
    </w:p>
    <w:p>
      <w:pPr>
        <w:spacing w:after="140" w:line="300"/>
      </w:pPr>
      <w:r>
        <w:rPr>
          <w:rFonts w:ascii="Calibri" w:cs="Calibri" w:eastAsia="Calibri" w:hAnsi="Calibri"/>
          <w:sz w:val="22"/>
          <w:szCs w:val="22"/>
        </w:rPr>
        <w:t xml:space="preserve">De meest voorkomende, en meest verleidelijke, denkfout bij dit soort besluiten is: </w:t>
      </w:r>
      <w:r>
        <w:rPr>
          <w:rFonts w:ascii="Calibri" w:cs="Calibri" w:eastAsia="Calibri" w:hAnsi="Calibri"/>
          <w:i/>
          <w:iCs/>
          <w:sz w:val="22"/>
          <w:szCs w:val="22"/>
        </w:rPr>
        <w:t xml:space="preserve">"we hebben hier al zoveel tijd en geld in gestoken, dan moeten we nu wel doorgaan."</w:t>
      </w:r>
      <w:r>
        <w:rPr>
          <w:rFonts w:ascii="Calibri" w:cs="Calibri" w:eastAsia="Calibri" w:hAnsi="Calibri"/>
          <w:sz w:val="22"/>
          <w:szCs w:val="22"/>
        </w:rPr>
        <w:t xml:space="preserve"> Dit is een </w:t>
      </w:r>
      <w:r>
        <w:rPr>
          <w:rFonts w:ascii="Calibri" w:cs="Calibri" w:eastAsia="Calibri" w:hAnsi="Calibri"/>
          <w:b/>
          <w:bCs/>
          <w:sz w:val="22"/>
          <w:szCs w:val="22"/>
        </w:rPr>
        <w:t xml:space="preserve">sunk cost</w:t>
      </w:r>
      <w:r>
        <w:rPr>
          <w:rFonts w:ascii="Calibri" w:cs="Calibri" w:eastAsia="Calibri" w:hAnsi="Calibri"/>
          <w:sz w:val="22"/>
          <w:szCs w:val="22"/>
        </w:rPr>
        <w:t xml:space="preserve">-redenering: geld en tijd die al zijn uitgegeven, zijn niet meer terug te halen, ongeacht wat je nu besluit — ze horen dus geen rol te spelen in de vraag of doorgaan de juiste keuze is. Dit is exact wat PRINCE2's principe 1 (ensure continued business justification, niveau 1 deel 2) en MSP's Justification-theme (niveau 2, deel 13) al vanaf het begin van deze cursus benadrukken: de vraag is niet "wat hebben we al geïnvesteerd," maar "is dit, gegeven wat we nu weten, nog steeds de moeite waard om mee door te gaan?"</w:t>
      </w:r>
    </w:p>
    <w:p>
      <w:pPr>
        <w:spacing w:after="140" w:line="300"/>
      </w:pPr>
      <w:r>
        <w:rPr>
          <w:rFonts w:ascii="Calibri" w:cs="Calibri" w:eastAsia="Calibri" w:hAnsi="Calibri"/>
          <w:sz w:val="22"/>
          <w:szCs w:val="22"/>
        </w:rPr>
        <w:t xml:space="preserve">Bij een programma als de Stelselovergang is de verleiding om aan sunk cost vast te houden extra groot: de politieke, financiële en reputationele investering is enorm, en "nu stoppen" voelt voor veel bestuurders als een persoonlijk falen. Precies daarom is een heldere, herhaalbare structuur voor een stopadvies zo waardevol — het maakt het bespreekbaar zonder dat het als aanval op de betrokkenen aanvoelt.</w:t>
      </w:r>
    </w:p>
    <w:p>
      <w:pPr>
        <w:pStyle w:val="Heading2"/>
        <w:spacing w:after="120" w:before="200"/>
      </w:pPr>
      <w:r>
        <w:rPr>
          <w:rFonts w:ascii="Georgia" w:cs="Georgia" w:eastAsia="Georgia" w:hAnsi="Georgia"/>
          <w:b/>
          <w:bCs/>
          <w:color w:val="2563A8"/>
          <w:sz w:val="28"/>
          <w:szCs w:val="28"/>
        </w:rPr>
        <w:t xml:space="preserve">3. Prioriteren op bijdrage, niet op investering</w:t>
      </w:r>
    </w:p>
    <w:p>
      <w:pPr>
        <w:spacing w:after="140" w:line="300"/>
      </w:pPr>
      <w:r>
        <w:rPr>
          <w:rFonts w:ascii="Calibri" w:cs="Calibri" w:eastAsia="Calibri" w:hAnsi="Calibri"/>
          <w:sz w:val="22"/>
          <w:szCs w:val="22"/>
        </w:rPr>
        <w:t xml:space="preserve">De juiste vraag is niet "hoeveel hebben we hierin gestoken," maar </w:t>
      </w:r>
      <w:r>
        <w:rPr>
          <w:rFonts w:ascii="Calibri" w:cs="Calibri" w:eastAsia="Calibri" w:hAnsi="Calibri"/>
          <w:b/>
          <w:bCs/>
          <w:sz w:val="22"/>
          <w:szCs w:val="22"/>
        </w:rPr>
        <w:t xml:space="preserve">"wat levert het resterende werk nog op, tegen welke resterende kosten en risico's, vergeleken met de alternatieven?"</w:t>
      </w:r>
      <w:r>
        <w:rPr>
          <w:rFonts w:ascii="Calibri" w:cs="Calibri" w:eastAsia="Calibri" w:hAnsi="Calibri"/>
          <w:sz w:val="22"/>
          <w:szCs w:val="22"/>
        </w:rPr>
        <w:t xml:space="preserve"> Dit is dezelfde logica als de benefits mapping grid uit niveau 2 (deel 12, §6: impact versus gemak van implementatie) en de vier besluiten bij een Tranche Review (niveau 2, deel 13, §5) — maar nu toegepast op een acuut, vaak onder tijdsdruk genomen besluit in plaats van een geplande herijking.</w:t>
      </w:r>
    </w:p>
    <w:p>
      <w:pPr>
        <w:pStyle w:val="Heading2"/>
        <w:spacing w:after="120" w:before="200"/>
      </w:pPr>
      <w:r>
        <w:rPr>
          <w:rFonts w:ascii="Georgia" w:cs="Georgia" w:eastAsia="Georgia" w:hAnsi="Georgia"/>
          <w:b/>
          <w:bCs/>
          <w:color w:val="2563A8"/>
          <w:sz w:val="28"/>
          <w:szCs w:val="28"/>
        </w:rPr>
        <w:t xml:space="preserve">4. De anatomie van een stopadvies</w:t>
      </w:r>
    </w:p>
    <w:p>
      <w:pPr>
        <w:spacing w:after="140" w:line="300"/>
      </w:pPr>
      <w:r>
        <w:rPr>
          <w:rFonts w:ascii="Calibri" w:cs="Calibri" w:eastAsia="Calibri" w:hAnsi="Calibri"/>
          <w:sz w:val="22"/>
          <w:szCs w:val="22"/>
        </w:rPr>
        <w:t xml:space="preserve">Een verdedigbaar stopadvies (of aanpassingsadvies) bevat vier elementen:</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Erkende bijdrage.</w:t>
      </w:r>
      <w:r>
        <w:rPr>
          <w:rFonts w:ascii="Calibri" w:cs="Calibri" w:eastAsia="Calibri" w:hAnsi="Calibri"/>
          <w:sz w:val="22"/>
          <w:szCs w:val="22"/>
        </w:rPr>
        <w:t xml:space="preserve"> Wat heeft het traject tot nu toe daadwerkelijk opgeleverd? Een stopadvies dat het geheel wegzet als mislukking, ondermijnt zijn eigen geloofwaardigheid en doet onrecht aan het werk dat wél waarde had. Erkenning van wat is bereikt, is geen zwaktebod maar een noodzakelijk onderdeel van een eerlijke afweging.</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Relatieve afweging.</w:t>
      </w:r>
      <w:r>
        <w:rPr>
          <w:rFonts w:ascii="Calibri" w:cs="Calibri" w:eastAsia="Calibri" w:hAnsi="Calibri"/>
          <w:sz w:val="22"/>
          <w:szCs w:val="22"/>
        </w:rPr>
        <w:t xml:space="preserve"> Wat levert doorgaan nog op, tegenover de resterende kosten en risico's — en hoe verhoudt zich dat tot andere manieren om diezelfde middelen in te zetten? Dit is een vergelijking naar voren, niet een terugblik.</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Lot van het werk.</w:t>
      </w:r>
      <w:r>
        <w:rPr>
          <w:rFonts w:ascii="Calibri" w:cs="Calibri" w:eastAsia="Calibri" w:hAnsi="Calibri"/>
          <w:sz w:val="22"/>
          <w:szCs w:val="22"/>
        </w:rPr>
        <w:t xml:space="preserve"> Wat gebeurt er met wat al is opgeleverd of gebouwd? Kan het deels worden hergebruikt, moet het zorgvuldig worden afgebouwd, of moet het simpelweg veilig worden stopgezet zonder verdere schade? Dit voorkomt dat "stoppen" onbedoeld ook betekent dat bruikbare tussenresultaten verloren gaan.</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Besluit bij de juiste laag.</w:t>
      </w:r>
      <w:r>
        <w:rPr>
          <w:rFonts w:ascii="Calibri" w:cs="Calibri" w:eastAsia="Calibri" w:hAnsi="Calibri"/>
          <w:sz w:val="22"/>
          <w:szCs w:val="22"/>
        </w:rPr>
        <w:t xml:space="preserve"> De projectmanager of programmamanager formuleert de </w:t>
      </w:r>
      <w:r>
        <w:rPr>
          <w:rFonts w:ascii="Calibri" w:cs="Calibri" w:eastAsia="Calibri" w:hAnsi="Calibri"/>
          <w:b/>
          <w:bCs/>
          <w:sz w:val="22"/>
          <w:szCs w:val="22"/>
        </w:rPr>
        <w:t xml:space="preserve">aanbeveling</w:t>
      </w:r>
      <w:r>
        <w:rPr>
          <w:rFonts w:ascii="Calibri" w:cs="Calibri" w:eastAsia="Calibri" w:hAnsi="Calibri"/>
          <w:sz w:val="22"/>
          <w:szCs w:val="22"/>
        </w:rPr>
        <w:t xml:space="preserve">, gebaseerd op de eerste drie elementen — maar het </w:t>
      </w:r>
      <w:r>
        <w:rPr>
          <w:rFonts w:ascii="Calibri" w:cs="Calibri" w:eastAsia="Calibri" w:hAnsi="Calibri"/>
          <w:b/>
          <w:bCs/>
          <w:sz w:val="22"/>
          <w:szCs w:val="22"/>
        </w:rPr>
        <w:t xml:space="preserve">besluit</w:t>
      </w:r>
      <w:r>
        <w:rPr>
          <w:rFonts w:ascii="Calibri" w:cs="Calibri" w:eastAsia="Calibri" w:hAnsi="Calibri"/>
          <w:sz w:val="22"/>
          <w:szCs w:val="22"/>
        </w:rPr>
        <w:t xml:space="preserve"> ligt bij de juiste governancelaag: de sponsoring group (niveau 2, deel 14) of, bij de Stelselovergang, het bestuur zelf (niveau 3, deel 25, §6). Een programmamanager die zelf besluit te stoppen zonder deze escalatie, overschrijdt het eigen mandaat; een programmamanager die geen advies durft te geven omdat het besluit toch "boven zijn positie" ligt, doet zijn taak niet.</w:t>
      </w:r>
    </w:p>
    <w:p>
      <w:pPr>
        <w:pStyle w:val="Heading2"/>
        <w:spacing w:after="120" w:before="200"/>
      </w:pPr>
      <w:r>
        <w:rPr>
          <w:rFonts w:ascii="Georgia" w:cs="Georgia" w:eastAsia="Georgia" w:hAnsi="Georgia"/>
          <w:b/>
          <w:bCs/>
          <w:color w:val="2563A8"/>
          <w:sz w:val="28"/>
          <w:szCs w:val="28"/>
        </w:rPr>
        <w:t xml:space="preserve">5. Herprioriteren als tussenweg</w:t>
      </w:r>
    </w:p>
    <w:p>
      <w:pPr>
        <w:spacing w:after="140" w:line="300"/>
      </w:pPr>
      <w:r>
        <w:rPr>
          <w:rFonts w:ascii="Calibri" w:cs="Calibri" w:eastAsia="Calibri" w:hAnsi="Calibri"/>
          <w:sz w:val="22"/>
          <w:szCs w:val="22"/>
        </w:rPr>
        <w:t xml:space="preserve">Stoppen en doorgaan zijn niet de enige opties. Herprioriteren — scope aanpassen, een tranche herstructureren, resources verschuiven — is vaak de meest verstandige uitkomst, en sluit direct aan bij het "aanpassen"-besluit uit Justification (niveau 2, deel 13, §5). Een goed stopadvies overweegt daarom expliciet: is dit een probleem dat om volledige stopzetting vraagt, of is een gerichte aanpassing voldoende om de onderliggende zorg weg te nemen?</w:t>
      </w:r>
    </w:p>
    <w:p>
      <w:pPr>
        <w:pStyle w:val="Heading2"/>
        <w:spacing w:after="120" w:before="200"/>
      </w:pPr>
      <w:r>
        <w:rPr>
          <w:rFonts w:ascii="Georgia" w:cs="Georgia" w:eastAsia="Georgia" w:hAnsi="Georgia"/>
          <w:b/>
          <w:bCs/>
          <w:color w:val="2563A8"/>
          <w:sz w:val="28"/>
          <w:szCs w:val="28"/>
        </w:rPr>
        <w:t xml:space="preserve">6. Toegepast op de Stelselovergang</w:t>
      </w:r>
    </w:p>
    <w:p>
      <w:pPr>
        <w:spacing w:after="140" w:line="300"/>
      </w:pPr>
      <w:r>
        <w:rPr>
          <w:rFonts w:ascii="Calibri" w:cs="Calibri" w:eastAsia="Calibri" w:hAnsi="Calibri"/>
          <w:sz w:val="22"/>
          <w:szCs w:val="22"/>
        </w:rPr>
        <w:t xml:space="preserve">Stel: vlak vóór het go/no-go-moment (deel 25, §6) signaleert de externe accountant een datakwaliteitsprobleem in een deelverzameling van historische diensttijdgegevens — niet catastrofaal, maar groot genoeg om de robuustheid van het invaarbesluit voor die specifieke groep deelnemers in twijfel te trekken.</w:t>
      </w:r>
    </w:p>
    <w:p>
      <w:pPr>
        <w:spacing w:after="140" w:line="300"/>
      </w:pPr>
      <w:r>
        <w:rPr>
          <w:rFonts w:ascii="Calibri" w:cs="Calibri" w:eastAsia="Calibri" w:hAnsi="Calibri"/>
          <w:sz w:val="22"/>
          <w:szCs w:val="22"/>
        </w:rPr>
        <w:t xml:space="preserve">Een verdedigbaar advies zou er ongeveer zo uitzien:</w:t>
      </w:r>
    </w:p>
    <w:p>
      <w:pPr>
        <w:pStyle w:val="ListParagraph"/>
        <w:numPr>
          <w:ilvl w:val="0"/>
          <w:numId w:val="1"/>
        </w:numPr>
        <w:spacing w:after="100" w:line="280"/>
      </w:pPr>
      <w:r>
        <w:rPr>
          <w:rFonts w:ascii="Calibri" w:cs="Calibri" w:eastAsia="Calibri" w:hAnsi="Calibri"/>
          <w:b/>
          <w:bCs/>
          <w:sz w:val="22"/>
          <w:szCs w:val="22"/>
        </w:rPr>
        <w:t xml:space="preserve">Erkende bijdrage</w:t>
      </w:r>
      <w:r>
        <w:rPr>
          <w:rFonts w:ascii="Calibri" w:cs="Calibri" w:eastAsia="Calibri" w:hAnsi="Calibri"/>
          <w:sz w:val="22"/>
          <w:szCs w:val="22"/>
        </w:rPr>
        <w:t xml:space="preserve">: de overgrote meerderheid van de data is grondig gecontroleerd en akkoord bevonden; alleen een afgebakende deelverzameling is problematisch.</w:t>
      </w:r>
    </w:p>
    <w:p>
      <w:pPr>
        <w:pStyle w:val="ListParagraph"/>
        <w:numPr>
          <w:ilvl w:val="0"/>
          <w:numId w:val="1"/>
        </w:numPr>
        <w:spacing w:after="100" w:line="280"/>
      </w:pPr>
      <w:r>
        <w:rPr>
          <w:rFonts w:ascii="Calibri" w:cs="Calibri" w:eastAsia="Calibri" w:hAnsi="Calibri"/>
          <w:b/>
          <w:bCs/>
          <w:sz w:val="22"/>
          <w:szCs w:val="22"/>
        </w:rPr>
        <w:t xml:space="preserve">Relatieve afweging</w:t>
      </w:r>
      <w:r>
        <w:rPr>
          <w:rFonts w:ascii="Calibri" w:cs="Calibri" w:eastAsia="Calibri" w:hAnsi="Calibri"/>
          <w:sz w:val="22"/>
          <w:szCs w:val="22"/>
        </w:rPr>
        <w:t xml:space="preserve">: doorgaan met invaren voor de volledige populatie, inclusief de problematische deelverzameling, brengt een reëel risico op onjuiste aanspraken met zich mee die na uitvoering niet meer te corrigeren zijn (deel 25, §7); uitstel van invaren voor uitsluitend die deelverzameling, met een gefaseerde aanpak, beperkt het risico aanzienlijk tegen relatief beperkte extra kosten en vertraging.</w:t>
      </w:r>
    </w:p>
    <w:p>
      <w:pPr>
        <w:pStyle w:val="ListParagraph"/>
        <w:numPr>
          <w:ilvl w:val="0"/>
          <w:numId w:val="1"/>
        </w:numPr>
        <w:spacing w:after="100" w:line="280"/>
      </w:pPr>
      <w:r>
        <w:rPr>
          <w:rFonts w:ascii="Calibri" w:cs="Calibri" w:eastAsia="Calibri" w:hAnsi="Calibri"/>
          <w:b/>
          <w:bCs/>
          <w:sz w:val="22"/>
          <w:szCs w:val="22"/>
        </w:rPr>
        <w:t xml:space="preserve">Lot van het werk</w:t>
      </w:r>
      <w:r>
        <w:rPr>
          <w:rFonts w:ascii="Calibri" w:cs="Calibri" w:eastAsia="Calibri" w:hAnsi="Calibri"/>
          <w:sz w:val="22"/>
          <w:szCs w:val="22"/>
        </w:rPr>
        <w:t xml:space="preserve">: het overgrote deel van de voorbereiding — datacontrole, communicatie, governance — blijft volledig bruikbaar; alleen de uitvoering voor de betreffende deelverzameling wordt uitgesteld.</w:t>
      </w:r>
    </w:p>
    <w:p>
      <w:pPr>
        <w:pStyle w:val="ListParagraph"/>
        <w:numPr>
          <w:ilvl w:val="0"/>
          <w:numId w:val="1"/>
        </w:numPr>
        <w:spacing w:after="100" w:line="280"/>
      </w:pPr>
      <w:r>
        <w:rPr>
          <w:rFonts w:ascii="Calibri" w:cs="Calibri" w:eastAsia="Calibri" w:hAnsi="Calibri"/>
          <w:b/>
          <w:bCs/>
          <w:sz w:val="22"/>
          <w:szCs w:val="22"/>
        </w:rPr>
        <w:t xml:space="preserve">Besluit bij de juiste laag</w:t>
      </w:r>
      <w:r>
        <w:rPr>
          <w:rFonts w:ascii="Calibri" w:cs="Calibri" w:eastAsia="Calibri" w:hAnsi="Calibri"/>
          <w:sz w:val="22"/>
          <w:szCs w:val="22"/>
        </w:rPr>
        <w:t xml:space="preserve">: de programmadirecteur legt dit advies voor aan het bestuur, dat uiteindelijk het formele go/no-go-besluit neemt — inclusief de mogelijkheid om te kiezen voor een gefaseerde uitvoering in plaats van een volledige stop.</w:t>
      </w:r>
    </w:p>
    <w:p>
      <w:pPr>
        <w:pStyle w:val="Heading2"/>
        <w:spacing w:after="120" w:before="200"/>
      </w:pPr>
      <w:r>
        <w:rPr>
          <w:rFonts w:ascii="Georgia" w:cs="Georgia" w:eastAsia="Georgia" w:hAnsi="Georgia"/>
          <w:b/>
          <w:bCs/>
          <w:color w:val="2563A8"/>
          <w:sz w:val="28"/>
          <w:szCs w:val="28"/>
        </w:rPr>
        <w:t xml:space="preserve">7. Vooruitblik</w:t>
      </w:r>
    </w:p>
    <w:p>
      <w:pPr>
        <w:spacing w:after="140" w:line="300"/>
      </w:pPr>
      <w:r>
        <w:rPr>
          <w:rFonts w:ascii="Calibri" w:cs="Calibri" w:eastAsia="Calibri" w:hAnsi="Calibri"/>
          <w:sz w:val="22"/>
          <w:szCs w:val="22"/>
        </w:rPr>
        <w:t xml:space="preserve">Deel 27 behandelt wat er gebeurt wanneer dit soort adviezen onder politieke of persoonlijke druk komen te staan — leiderschap en ethiek wanneer het er echt op aankomt.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26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2026-08-17T08:29:51.514Z</dcterms:created>
  <dcterms:modified xsi:type="dcterms:W3CDTF">2026-08-17T08:29:51.516Z</dcterms:modified>
</cp:coreProperties>
</file>

<file path=docProps/custom.xml><?xml version="1.0" encoding="utf-8"?>
<Properties xmlns="http://schemas.openxmlformats.org/officeDocument/2006/custom-properties" xmlns:vt="http://schemas.openxmlformats.org/officeDocument/2006/docPropsVTypes"/>
</file>