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27 — Leiderschap en ethiek onder druk</w:t>
      </w:r>
    </w:p>
    <w:p>
      <w:pPr>
        <w:spacing w:after="300"/>
      </w:pPr>
      <w:r>
        <w:rPr>
          <w:rFonts w:ascii="Calibri" w:cs="Calibri" w:eastAsia="Calibri" w:hAnsi="Calibri"/>
          <w:i/>
          <w:iCs/>
          <w:color w:val="2563A8"/>
          <w:sz w:val="22"/>
          <w:szCs w:val="22"/>
        </w:rPr>
        <w:t xml:space="preserve">Niveau 3 Expert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27 (deel 5 van niveau 3)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deelnemers concrete, direct toepasbare instrumenten meegeven (mandaat/invloed, de DNB-toets) in plaats van abstracte ethische theorie — dit deel moet bruikbaar zijn op een moeilijke maandagochtend, niet alleen navertelbaar in een examen.</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26, introductie: wanneer druk en ethiek botsen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Mandaat versus invloed: drie opties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27.1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grens legitiem-optimistisch/misleidend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27.2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DNB-toets (reader §4) + opdracht 27.3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 + 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Toegepast op programmamanagement-specifieke druk (reader §5–6) + opdracht 27.4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 + 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Bij opdracht 27.1 is (c) de meest volwassen situatie om te bespreken: een zorg is gehoord, overwogen, en het bestuur besluit toch anders.</w:t>
      </w:r>
      <w:r>
        <w:rPr>
          <w:rFonts w:ascii="Calibri" w:cs="Calibri" w:eastAsia="Calibri" w:hAnsi="Calibri"/>
          <w:sz w:val="22"/>
          <w:szCs w:val="22"/>
        </w:rPr>
        <w:t xml:space="preserve"> Dit is geen falen van het proces — leg uit dat "nooit zwijgen" hier niet betekent blijven aandringen tot je gelijk krijgt, maar dat de eigen positie vastligt en gerespecteerd wordt, ook als het besluit anders uitpakt.</w:t>
      </w:r>
    </w:p>
    <w:p>
      <w:pPr>
        <w:pStyle w:val="ListParagraph"/>
        <w:numPr>
          <w:ilvl w:val="0"/>
          <w:numId w:val="1"/>
        </w:numPr>
        <w:spacing w:after="100" w:line="280"/>
      </w:pPr>
      <w:r>
        <w:rPr>
          <w:rFonts w:ascii="Calibri" w:cs="Calibri" w:eastAsia="Calibri" w:hAnsi="Calibri"/>
          <w:b/>
          <w:bCs/>
          <w:sz w:val="22"/>
          <w:szCs w:val="22"/>
        </w:rPr>
        <w:t xml:space="preserve">Bij opdracht 27.2 is (d) het meest onderscheidende voorbeeld — expliciete onzekerheid zonder vals geruststellen én zonder paniek.</w:t>
      </w:r>
      <w:r>
        <w:rPr>
          <w:rFonts w:ascii="Calibri" w:cs="Calibri" w:eastAsia="Calibri" w:hAnsi="Calibri"/>
          <w:sz w:val="22"/>
          <w:szCs w:val="22"/>
        </w:rPr>
        <w:t xml:space="preserve"> Laat dit voorbeeld extra uitlichten als het model voor goede communicatie onder onzekerheid: het benoemt wat je weet, wat je niet weet, en wanneer je meer weet.</w:t>
      </w:r>
    </w:p>
    <w:p>
      <w:pPr>
        <w:pStyle w:val="ListParagraph"/>
        <w:numPr>
          <w:ilvl w:val="0"/>
          <w:numId w:val="1"/>
        </w:numPr>
        <w:spacing w:after="100" w:line="280"/>
      </w:pPr>
      <w:r>
        <w:rPr>
          <w:rFonts w:ascii="Calibri" w:cs="Calibri" w:eastAsia="Calibri" w:hAnsi="Calibri"/>
          <w:b/>
          <w:bCs/>
          <w:sz w:val="22"/>
          <w:szCs w:val="22"/>
        </w:rPr>
        <w:t xml:space="preserve">Bij opdracht 27.3 is het leerdoel dat de DNB-toets een intuïtieve, snelle vuistregel is — geen formele procedure.</w:t>
      </w:r>
      <w:r>
        <w:rPr>
          <w:rFonts w:ascii="Calibri" w:cs="Calibri" w:eastAsia="Calibri" w:hAnsi="Calibri"/>
          <w:sz w:val="22"/>
          <w:szCs w:val="22"/>
        </w:rPr>
        <w:t xml:space="preserve"> Laat deelnemers dit hardop toepassen zonder lang te zoeken naar een "correct" antwoord; het gaat om de reflex, niet om precisie.</w:t>
      </w:r>
    </w:p>
    <w:p>
      <w:pPr>
        <w:pStyle w:val="ListParagraph"/>
        <w:numPr>
          <w:ilvl w:val="0"/>
          <w:numId w:val="1"/>
        </w:numPr>
        <w:spacing w:after="100" w:line="280"/>
      </w:pPr>
      <w:r>
        <w:rPr>
          <w:rFonts w:ascii="Calibri" w:cs="Calibri" w:eastAsia="Calibri" w:hAnsi="Calibri"/>
          <w:b/>
          <w:bCs/>
          <w:sz w:val="22"/>
          <w:szCs w:val="22"/>
        </w:rPr>
        <w:t xml:space="preserve">Vermijd bij opdracht 27.4 het invullen van kwade opzet bij een fictieve tegenspeler.</w:t>
      </w:r>
      <w:r>
        <w:rPr>
          <w:rFonts w:ascii="Calibri" w:cs="Calibri" w:eastAsia="Calibri" w:hAnsi="Calibri"/>
          <w:sz w:val="22"/>
          <w:szCs w:val="22"/>
        </w:rPr>
        <w:t xml:space="preserve"> Net als in niveau 2 (deel 19) geldt: het gaat om patronen herkennen en er professioneel mee omgaan, niet om wantrouwen te cultiveren.</w:t>
      </w:r>
    </w:p>
    <w:p>
      <w:pPr>
        <w:pStyle w:val="Heading2"/>
        <w:spacing w:after="120" w:before="200"/>
      </w:pPr>
      <w:r>
        <w:rPr>
          <w:rFonts w:ascii="Georgia" w:cs="Georgia" w:eastAsia="Georgia" w:hAnsi="Georgia"/>
          <w:b/>
          <w:bCs/>
          <w:color w:val="2563A8"/>
          <w:sz w:val="28"/>
          <w:szCs w:val="28"/>
        </w:rPr>
        <w:t xml:space="preserve">Modelantwoorden — Opdracht 27.1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Overtuigen — dit is het eerste, gepaste niveau: de collega direct aanspreken op wat het weglaten van een bekend risico feitelijk betekent.</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Escaleren — overtuigen is al twee keer geprobeerd zonder resultaat, en de situatie is verslechterd; dit rechtvaardigt een volgende stap.</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Nooit zwijgen (in de zin van: de eigen positie blijft vastgelegd) — het besluitvormingsproces is hier correct gevolgd; verder aandringen zou het mandaat van de governancelaag ondermijnen, maar de eigen zorg hoeft niet te worden ingetrokken of verzwegen.</w:t>
      </w:r>
    </w:p>
    <w:p>
      <w:pPr>
        <w:pStyle w:val="Heading2"/>
        <w:spacing w:after="120" w:before="200"/>
      </w:pPr>
      <w:r>
        <w:rPr>
          <w:rFonts w:ascii="Georgia" w:cs="Georgia" w:eastAsia="Georgia" w:hAnsi="Georgia"/>
          <w:b/>
          <w:bCs/>
          <w:color w:val="2563A8"/>
          <w:sz w:val="28"/>
          <w:szCs w:val="28"/>
        </w:rPr>
        <w:t xml:space="preserve">Modelantwoorden — Opdracht 27.2</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Legitiem-optimistisch — de aanname (tijdige levering) is expliciet benoemd, met een concreet alternatief scenario.</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Misleidend — geen enkele onderliggende onzekerheid zichtbaar, terwijl die er wel is.</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Misleidend — "beheerst" suggereert meer zekerheid dan er intern daadwerkelijk bestaat.</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Legitiem-optimistisch — erkent expliciet wat nog onbekend is, zonder in paniek te schieten, met een concreet vervolgmoment.</w:t>
      </w:r>
    </w:p>
    <w:p>
      <w:pPr>
        <w:pStyle w:val="Heading2"/>
        <w:spacing w:after="120" w:before="200"/>
      </w:pPr>
      <w:r>
        <w:rPr>
          <w:rFonts w:ascii="Georgia" w:cs="Georgia" w:eastAsia="Georgia" w:hAnsi="Georgia"/>
          <w:b/>
          <w:bCs/>
          <w:color w:val="2563A8"/>
          <w:sz w:val="28"/>
          <w:szCs w:val="28"/>
        </w:rPr>
        <w:t xml:space="preserve">Modelantwoorden — Opdracht 27.3</w:t>
      </w:r>
    </w:p>
    <w:p>
      <w:pPr>
        <w:spacing w:after="140" w:line="300"/>
      </w:pPr>
      <w:r>
        <w:rPr>
          <w:rFonts w:ascii="Calibri" w:cs="Calibri" w:eastAsia="Calibri" w:hAnsi="Calibri"/>
          <w:sz w:val="22"/>
          <w:szCs w:val="22"/>
        </w:rPr>
        <w:t xml:space="preserve">a en d zouden de DNB-toets doorstaan — de aannames en onzekerheden zijn expliciet, een toezichthouder zou hier geen verborgen informatie in aantreffen. b en c zouden de toets niet doorstaan — beide suggereren een mate van zekerheid die feitelijk niet bestaat, en zouden bij nadere navraag door een toezichthouder een ander beeld onthullen dan wat er stond.</w:t>
      </w:r>
    </w:p>
    <w:p>
      <w:pPr>
        <w:pStyle w:val="Heading2"/>
        <w:spacing w:after="120" w:before="200"/>
      </w:pPr>
      <w:r>
        <w:rPr>
          <w:rFonts w:ascii="Georgia" w:cs="Georgia" w:eastAsia="Georgia" w:hAnsi="Georgia"/>
          <w:b/>
          <w:bCs/>
          <w:color w:val="2563A8"/>
          <w:sz w:val="28"/>
          <w:szCs w:val="28"/>
        </w:rPr>
        <w:t xml:space="preserve">Modelantwoord — Opdracht 27.4</w:t>
      </w:r>
    </w:p>
    <w:p>
      <w:pPr>
        <w:spacing w:after="140" w:line="300"/>
      </w:pPr>
      <w:r>
        <w:rPr>
          <w:rFonts w:ascii="Calibri" w:cs="Calibri" w:eastAsia="Calibri" w:hAnsi="Calibri"/>
          <w:sz w:val="22"/>
          <w:szCs w:val="22"/>
        </w:rPr>
        <w:t xml:space="preserve">Voorbeeld: een data-analist binnen het programma uit twijfels over de gehanteerde risicoclassificatie van bepaalde kritieke data-elementen (deel 25, §3), maar wordt door de tijdsdruk richting het go/no-go-moment weggewuifd met "we hebben hier al lang genoeg naar gekeken." Een betere aanpak: de specifieke zorg apart, kort en gericht laten onderzoeken door een collega of de tweede lijn (deel 18, §4), in plaats van de zorg te laten verdwijnen in de tijdsdruk — vaak kost dit relatief weinig extra tijd, terwijl het wegwuiven ervan bij een onomkeerbaar besluit (deel 25, §7) een onevenredig risico met zich meebrengt.</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Antwoorden zullen sterk verschillen — mogelijke voorbeelden: "zou ik dit ook zo aan mijn opvolger uitleggen," of "zou ik dit ook zo aan mijn eigen team vertellen." De kern van een goede persoonlijke toets is dezelfde als bij de DNB-toets: een denkbeeldig gehoor zonder belang bij een gunstige framing.</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"Wat als escaleren in de praktijk als 'verraad' aan het team of de leidinggevende aanvoelt"?</w:t>
      </w:r>
      <w:r>
        <w:rPr>
          <w:rFonts w:ascii="Calibri" w:cs="Calibri" w:eastAsia="Calibri" w:hAnsi="Calibri"/>
          <w:sz w:val="22"/>
          <w:szCs w:val="22"/>
        </w:rPr>
        <w:t xml:space="preserve"> Dat gevoel is reëel en invoelbaar, maar het onderscheidt zich van daadwerkelijk verraad doordat escaleren plaatsvindt volgens de juiste governancelijn (deel 14, deel 18 §4), niet buitenom — het is een formeel, legitiem onderdeel van de eigen rol, geen persoonlijke actie tegen iemand.</w:t>
      </w:r>
    </w:p>
    <w:p>
      <w:pPr>
        <w:pStyle w:val="ListParagraph"/>
        <w:numPr>
          <w:ilvl w:val="0"/>
          <w:numId w:val="1"/>
        </w:numPr>
        <w:spacing w:after="100" w:line="280"/>
      </w:pPr>
      <w:r>
        <w:rPr>
          <w:rFonts w:ascii="Calibri" w:cs="Calibri" w:eastAsia="Calibri" w:hAnsi="Calibri"/>
          <w:i/>
          <w:iCs/>
          <w:sz w:val="22"/>
          <w:szCs w:val="22"/>
        </w:rPr>
        <w:t xml:space="preserve">"Is de DNB-toets alleen bruikbaar in een gereguleerde sector zoals pensioenen?"</w:t>
      </w:r>
      <w:r>
        <w:rPr>
          <w:rFonts w:ascii="Calibri" w:cs="Calibri" w:eastAsia="Calibri" w:hAnsi="Calibri"/>
          <w:sz w:val="22"/>
          <w:szCs w:val="22"/>
        </w:rPr>
        <w:t xml:space="preserve"> Nee — het onderliggende principe (zou dit overeind blijven bij een gehoor zonder belang bij een gunstige framing) is universeel toepasbaar, ook buiten sectoren met een formele toezichthouder.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27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2026-08-17T08:30:17.752Z</dcterms:created>
  <dcterms:modified xsi:type="dcterms:W3CDTF">2026-08-17T08:30:17.752Z</dcterms:modified>
</cp:coreProperties>
</file>

<file path=docProps/custom.xml><?xml version="1.0" encoding="utf-8"?>
<Properties xmlns="http://schemas.openxmlformats.org/officeDocument/2006/custom-properties" xmlns:vt="http://schemas.openxmlformats.org/officeDocument/2006/docPropsVTypes"/>
</file>