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27 — Leiderschap en ethiek onder druk</w:t>
      </w:r>
    </w:p>
    <w:p>
      <w:pPr>
        <w:spacing w:after="300"/>
      </w:pPr>
      <w:r>
        <w:rPr>
          <w:rFonts w:ascii="Calibri" w:cs="Calibri" w:eastAsia="Calibri" w:hAnsi="Calibri"/>
          <w:i/>
          <w:iCs/>
          <w:color w:val="2563A8"/>
          <w:sz w:val="22"/>
          <w:szCs w:val="22"/>
        </w:rPr>
        <w:t xml:space="preserve">Niveau 3 Expert · Project- en Programmamanagement</w:t>
      </w:r>
    </w:p>
    <w:p>
      <w:pPr>
        <w:pStyle w:val="Heading2"/>
        <w:spacing w:after="120" w:before="200"/>
      </w:pPr>
      <w:r>
        <w:rPr>
          <w:rFonts w:ascii="Georgia" w:cs="Georgia" w:eastAsia="Georgia" w:hAnsi="Georgia"/>
          <w:b/>
          <w:bCs/>
          <w:color w:val="2563A8"/>
          <w:sz w:val="28"/>
          <w:szCs w:val="28"/>
        </w:rPr>
        <w:t xml:space="preserve">1. Wanneer druk en ethiek botsen</w:t>
      </w:r>
    </w:p>
    <w:p>
      <w:pPr>
        <w:spacing w:after="140" w:line="300"/>
      </w:pPr>
      <w:r>
        <w:rPr>
          <w:rFonts w:ascii="Calibri" w:cs="Calibri" w:eastAsia="Calibri" w:hAnsi="Calibri"/>
          <w:sz w:val="22"/>
          <w:szCs w:val="22"/>
        </w:rPr>
        <w:t xml:space="preserve">Een goed stopadvies (deel 26) of een eerlijk implementatieplan (deel 24) veronderstelt dat de betrokkenen ook daadwerkelijk eerlijk willen en durven zijn. In de praktijk staat die eerlijkheid onder druk: politieke belangen, deadlines, en de wens om niet als brenger van slecht nieuws te gelden. Dit deel behandelt hoe een programmamanager zich daartoe verhoudt — niet met abstracte idealen, maar met een paar concrete, bruikbare onderscheidingen.</w:t>
      </w:r>
    </w:p>
    <w:p>
      <w:pPr>
        <w:pStyle w:val="Heading2"/>
        <w:spacing w:after="120" w:before="200"/>
      </w:pPr>
      <w:r>
        <w:rPr>
          <w:rFonts w:ascii="Georgia" w:cs="Georgia" w:eastAsia="Georgia" w:hAnsi="Georgia"/>
          <w:b/>
          <w:bCs/>
          <w:color w:val="2563A8"/>
          <w:sz w:val="28"/>
          <w:szCs w:val="28"/>
        </w:rPr>
        <w:t xml:space="preserve">2. Mandaat versus invloed</w:t>
      </w:r>
    </w:p>
    <w:p>
      <w:pPr>
        <w:spacing w:after="140" w:line="300"/>
      </w:pPr>
      <w:r>
        <w:rPr>
          <w:rFonts w:ascii="Calibri" w:cs="Calibri" w:eastAsia="Calibri" w:hAnsi="Calibri"/>
          <w:sz w:val="22"/>
          <w:szCs w:val="22"/>
        </w:rPr>
        <w:t xml:space="preserve">Een programmamanager heeft zelden het formele </w:t>
      </w:r>
      <w:r>
        <w:rPr>
          <w:rFonts w:ascii="Calibri" w:cs="Calibri" w:eastAsia="Calibri" w:hAnsi="Calibri"/>
          <w:b/>
          <w:bCs/>
          <w:sz w:val="22"/>
          <w:szCs w:val="22"/>
        </w:rPr>
        <w:t xml:space="preserve">mandaat</w:t>
      </w:r>
      <w:r>
        <w:rPr>
          <w:rFonts w:ascii="Calibri" w:cs="Calibri" w:eastAsia="Calibri" w:hAnsi="Calibri"/>
          <w:sz w:val="22"/>
          <w:szCs w:val="22"/>
        </w:rPr>
        <w:t xml:space="preserve"> om het laatste woord te hebben over een ethische kwestie — dat besluit ligt bij de governancelaag (deel 14, deel 26 §4). Wat een programmamanager wél heeft, is </w:t>
      </w:r>
      <w:r>
        <w:rPr>
          <w:rFonts w:ascii="Calibri" w:cs="Calibri" w:eastAsia="Calibri" w:hAnsi="Calibri"/>
          <w:b/>
          <w:bCs/>
          <w:sz w:val="22"/>
          <w:szCs w:val="22"/>
        </w:rPr>
        <w:t xml:space="preserve">invloed</w:t>
      </w:r>
      <w:r>
        <w:rPr>
          <w:rFonts w:ascii="Calibri" w:cs="Calibri" w:eastAsia="Calibri" w:hAnsi="Calibri"/>
          <w:sz w:val="22"/>
          <w:szCs w:val="22"/>
        </w:rPr>
        <w:t xml:space="preserve">: de mogelijkheid om te overtuigen, te escaleren, en zich te onthouden van stilzwijgen. Drie opties, in oplopende zwaarte:</w:t>
      </w:r>
    </w:p>
    <w:p>
      <w:pPr>
        <w:spacing w:after="120" w:line="280"/>
        <w:ind w:left="360" w:hanging="360"/>
      </w:pPr>
      <w:r>
        <w:rPr>
          <w:rFonts w:ascii="Calibri" w:cs="Calibri" w:eastAsia="Calibri" w:hAnsi="Calibri"/>
          <w:b/>
          <w:bCs/>
          <w:color w:val="14213D"/>
          <w:sz w:val="22"/>
          <w:szCs w:val="22"/>
        </w:rPr>
        <w:t xml:space="preserve">1. </w:t>
      </w:r>
      <w:r>
        <w:rPr>
          <w:rFonts w:ascii="Calibri" w:cs="Calibri" w:eastAsia="Calibri" w:hAnsi="Calibri"/>
          <w:b/>
          <w:bCs/>
          <w:sz w:val="22"/>
          <w:szCs w:val="22"/>
        </w:rPr>
        <w:t xml:space="preserve">Overtuigen</w:t>
      </w:r>
      <w:r>
        <w:rPr>
          <w:rFonts w:ascii="Calibri" w:cs="Calibri" w:eastAsia="Calibri" w:hAnsi="Calibri"/>
          <w:sz w:val="22"/>
          <w:szCs w:val="22"/>
        </w:rPr>
        <w:t xml:space="preserve"> — de zorg helder en onderbouwd naar voren brengen, met feiten en argumenten, op het juiste moment en bij de juiste persoon.</w:t>
      </w:r>
    </w:p>
    <w:p>
      <w:pPr>
        <w:spacing w:after="120" w:line="280"/>
        <w:ind w:left="360" w:hanging="360"/>
      </w:pPr>
      <w:r>
        <w:rPr>
          <w:rFonts w:ascii="Calibri" w:cs="Calibri" w:eastAsia="Calibri" w:hAnsi="Calibri"/>
          <w:b/>
          <w:bCs/>
          <w:color w:val="14213D"/>
          <w:sz w:val="22"/>
          <w:szCs w:val="22"/>
        </w:rPr>
        <w:t xml:space="preserve">2. </w:t>
      </w:r>
      <w:r>
        <w:rPr>
          <w:rFonts w:ascii="Calibri" w:cs="Calibri" w:eastAsia="Calibri" w:hAnsi="Calibri"/>
          <w:b/>
          <w:bCs/>
          <w:sz w:val="22"/>
          <w:szCs w:val="22"/>
        </w:rPr>
        <w:t xml:space="preserve">Escaleren</w:t>
      </w:r>
      <w:r>
        <w:rPr>
          <w:rFonts w:ascii="Calibri" w:cs="Calibri" w:eastAsia="Calibri" w:hAnsi="Calibri"/>
          <w:sz w:val="22"/>
          <w:szCs w:val="22"/>
        </w:rPr>
        <w:t xml:space="preserve"> — wanneer overtuigen niet werkt en de zorg zwaar genoeg weegt, de kwestie naar een hogere governancelaag brengen (deel 14, deel 18 §4: de derde verdedigingslinie is hier vaak het aangewezen escalatiepad).</w:t>
      </w:r>
    </w:p>
    <w:p>
      <w:pPr>
        <w:spacing w:after="120" w:line="280"/>
        <w:ind w:left="360" w:hanging="360"/>
      </w:pPr>
      <w:r>
        <w:rPr>
          <w:rFonts w:ascii="Calibri" w:cs="Calibri" w:eastAsia="Calibri" w:hAnsi="Calibri"/>
          <w:b/>
          <w:bCs/>
          <w:color w:val="14213D"/>
          <w:sz w:val="22"/>
          <w:szCs w:val="22"/>
        </w:rPr>
        <w:t xml:space="preserve">3. </w:t>
      </w:r>
      <w:r>
        <w:rPr>
          <w:rFonts w:ascii="Calibri" w:cs="Calibri" w:eastAsia="Calibri" w:hAnsi="Calibri"/>
          <w:b/>
          <w:bCs/>
          <w:sz w:val="22"/>
          <w:szCs w:val="22"/>
        </w:rPr>
        <w:t xml:space="preserve">Nooit zwijgen</w:t>
      </w:r>
      <w:r>
        <w:rPr>
          <w:rFonts w:ascii="Calibri" w:cs="Calibri" w:eastAsia="Calibri" w:hAnsi="Calibri"/>
          <w:sz w:val="22"/>
          <w:szCs w:val="22"/>
        </w:rPr>
        <w:t xml:space="preserve"> — ook als overtuigen niet lukt en escaleren (nog) niet mogelijk of gepast is, betekent dit niet dat de zorg wordt ingeslikt: die blijft vastgelegd, bijvoorbeeld in het issue- of risicoregister (niveau 1, deel 5-6), zodat die niet verdwijnt maar wel zichtbaar blijft voor wie er later naar kijkt.</w:t>
      </w:r>
    </w:p>
    <w:p>
      <w:pPr>
        <w:spacing w:after="140" w:line="300"/>
      </w:pPr>
      <w:r>
        <w:rPr>
          <w:rFonts w:ascii="Calibri" w:cs="Calibri" w:eastAsia="Calibri" w:hAnsi="Calibri"/>
          <w:sz w:val="22"/>
          <w:szCs w:val="22"/>
        </w:rPr>
        <w:t xml:space="preserve">Wat een programmamanager </w:t>
      </w:r>
      <w:r>
        <w:rPr>
          <w:rFonts w:ascii="Calibri" w:cs="Calibri" w:eastAsia="Calibri" w:hAnsi="Calibri"/>
          <w:b/>
          <w:bCs/>
          <w:sz w:val="22"/>
          <w:szCs w:val="22"/>
        </w:rPr>
        <w:t xml:space="preserve">niet</w:t>
      </w:r>
      <w:r>
        <w:rPr>
          <w:rFonts w:ascii="Calibri" w:cs="Calibri" w:eastAsia="Calibri" w:hAnsi="Calibri"/>
          <w:sz w:val="22"/>
          <w:szCs w:val="22"/>
        </w:rPr>
        <w:t xml:space="preserve"> doet, is de eigen zorg laten varen omdat "het besluit toch bij een ander ligt" — invloed uitoefenen is nog steeds een taak, ook zonder mandaat om te beslissen.</w:t>
      </w:r>
    </w:p>
    <w:p>
      <w:pPr>
        <w:pStyle w:val="Heading2"/>
        <w:spacing w:after="120" w:before="200"/>
      </w:pPr>
      <w:r>
        <w:rPr>
          <w:rFonts w:ascii="Georgia" w:cs="Georgia" w:eastAsia="Georgia" w:hAnsi="Georgia"/>
          <w:b/>
          <w:bCs/>
          <w:color w:val="2563A8"/>
          <w:sz w:val="28"/>
          <w:szCs w:val="28"/>
        </w:rPr>
        <w:t xml:space="preserve">3. De grens tussen legitiem-optimistisch en misleidend</w:t>
      </w:r>
    </w:p>
    <w:p>
      <w:pPr>
        <w:spacing w:after="140" w:line="300"/>
      </w:pPr>
      <w:r>
        <w:rPr>
          <w:rFonts w:ascii="Calibri" w:cs="Calibri" w:eastAsia="Calibri" w:hAnsi="Calibri"/>
          <w:sz w:val="22"/>
          <w:szCs w:val="22"/>
        </w:rPr>
        <w:t xml:space="preserve">Elk programma bevat onzekerheid, en een zekere mate van optimisme hoort bij goed leiderschap — een programmamanager die bij elke onzekerheid het ergste vreest, verlamt het programma net zo goed als een programmamanager die risico's stelselmatig bagatelliseert. De grens is scherp te trekken, en sluit direct aan bij de registerwisseling-regel uit deel 24:</w:t>
      </w:r>
    </w:p>
    <w:p>
      <w:pPr>
        <w:pStyle w:val="ListParagraph"/>
        <w:numPr>
          <w:ilvl w:val="0"/>
          <w:numId w:val="1"/>
        </w:numPr>
        <w:spacing w:after="100" w:line="280"/>
      </w:pPr>
      <w:r>
        <w:rPr>
          <w:rFonts w:ascii="Calibri" w:cs="Calibri" w:eastAsia="Calibri" w:hAnsi="Calibri"/>
          <w:b/>
          <w:bCs/>
          <w:sz w:val="22"/>
          <w:szCs w:val="22"/>
        </w:rPr>
        <w:t xml:space="preserve">Legitiem-optimistisch</w:t>
      </w:r>
      <w:r>
        <w:rPr>
          <w:rFonts w:ascii="Calibri" w:cs="Calibri" w:eastAsia="Calibri" w:hAnsi="Calibri"/>
          <w:sz w:val="22"/>
          <w:szCs w:val="22"/>
        </w:rPr>
        <w:t xml:space="preserve">: aannames worden </w:t>
      </w:r>
      <w:r>
        <w:rPr>
          <w:rFonts w:ascii="Calibri" w:cs="Calibri" w:eastAsia="Calibri" w:hAnsi="Calibri"/>
          <w:b/>
          <w:bCs/>
          <w:sz w:val="22"/>
          <w:szCs w:val="22"/>
        </w:rPr>
        <w:t xml:space="preserve">expliciet</w:t>
      </w:r>
      <w:r>
        <w:rPr>
          <w:rFonts w:ascii="Calibri" w:cs="Calibri" w:eastAsia="Calibri" w:hAnsi="Calibri"/>
          <w:sz w:val="22"/>
          <w:szCs w:val="22"/>
        </w:rPr>
        <w:t xml:space="preserve"> benoemd — "we gaan ervan uit dat X, en als dat niet klopt, is de impact Y" — zodat de ontvanger zelf kan beoordelen hoe zwaar die aanname weegt.</w:t>
      </w:r>
    </w:p>
    <w:p>
      <w:pPr>
        <w:pStyle w:val="ListParagraph"/>
        <w:numPr>
          <w:ilvl w:val="0"/>
          <w:numId w:val="1"/>
        </w:numPr>
        <w:spacing w:after="100" w:line="280"/>
      </w:pPr>
      <w:r>
        <w:rPr>
          <w:rFonts w:ascii="Calibri" w:cs="Calibri" w:eastAsia="Calibri" w:hAnsi="Calibri"/>
          <w:b/>
          <w:bCs/>
          <w:sz w:val="22"/>
          <w:szCs w:val="22"/>
        </w:rPr>
        <w:t xml:space="preserve">Misleidend</w:t>
      </w:r>
      <w:r>
        <w:rPr>
          <w:rFonts w:ascii="Calibri" w:cs="Calibri" w:eastAsia="Calibri" w:hAnsi="Calibri"/>
          <w:sz w:val="22"/>
          <w:szCs w:val="22"/>
        </w:rPr>
        <w:t xml:space="preserve">: onzekerheid wordt </w:t>
      </w:r>
      <w:r>
        <w:rPr>
          <w:rFonts w:ascii="Calibri" w:cs="Calibri" w:eastAsia="Calibri" w:hAnsi="Calibri"/>
          <w:b/>
          <w:bCs/>
          <w:sz w:val="22"/>
          <w:szCs w:val="22"/>
        </w:rPr>
        <w:t xml:space="preserve">verborgen</w:t>
      </w:r>
      <w:r>
        <w:rPr>
          <w:rFonts w:ascii="Calibri" w:cs="Calibri" w:eastAsia="Calibri" w:hAnsi="Calibri"/>
          <w:sz w:val="22"/>
          <w:szCs w:val="22"/>
        </w:rPr>
        <w:t xml:space="preserve"> — een aanname wordt gepresenteerd als vaststaand feit, of een risico wordt weggelaten omdat het "de boodschap zou compliceren" (precies de rode vlag uit deel 24, §4).</w:t>
      </w:r>
    </w:p>
    <w:p>
      <w:pPr>
        <w:spacing w:after="140" w:line="300"/>
      </w:pPr>
      <w:r>
        <w:rPr>
          <w:rFonts w:ascii="Calibri" w:cs="Calibri" w:eastAsia="Calibri" w:hAnsi="Calibri"/>
          <w:sz w:val="22"/>
          <w:szCs w:val="22"/>
        </w:rPr>
        <w:t xml:space="preserve">Het onderscheid zit dus niet in hoe positief de boodschap klinkt, maar in of de ontvanger de onderliggende onzekerheid kan zien.</w:t>
      </w:r>
    </w:p>
    <w:p>
      <w:pPr>
        <w:pStyle w:val="Heading2"/>
        <w:spacing w:after="120" w:before="200"/>
      </w:pPr>
      <w:r>
        <w:rPr>
          <w:rFonts w:ascii="Georgia" w:cs="Georgia" w:eastAsia="Georgia" w:hAnsi="Georgia"/>
          <w:b/>
          <w:bCs/>
          <w:color w:val="2563A8"/>
          <w:sz w:val="28"/>
          <w:szCs w:val="28"/>
        </w:rPr>
        <w:t xml:space="preserve">4. Een snelle ethische toets</w:t>
      </w:r>
    </w:p>
    <w:p>
      <w:pPr>
        <w:spacing w:after="140" w:line="300"/>
      </w:pPr>
      <w:r>
        <w:rPr>
          <w:rFonts w:ascii="Calibri" w:cs="Calibri" w:eastAsia="Calibri" w:hAnsi="Calibri"/>
          <w:sz w:val="22"/>
          <w:szCs w:val="22"/>
        </w:rPr>
        <w:t xml:space="preserve">Een bruikbare, snelle controle vóór het versturen van een rapportage, advies, of update: </w:t>
      </w:r>
      <w:r>
        <w:rPr>
          <w:rFonts w:ascii="Calibri" w:cs="Calibri" w:eastAsia="Calibri" w:hAnsi="Calibri"/>
          <w:b/>
          <w:bCs/>
          <w:sz w:val="22"/>
          <w:szCs w:val="22"/>
        </w:rPr>
        <w:t xml:space="preserve">de DNB-toets</w:t>
      </w:r>
      <w:r>
        <w:rPr>
          <w:rFonts w:ascii="Calibri" w:cs="Calibri" w:eastAsia="Calibri" w:hAnsi="Calibri"/>
          <w:sz w:val="22"/>
          <w:szCs w:val="22"/>
        </w:rPr>
        <w:t xml:space="preserve"> — zou deze boodschap, woord voor woord, ook overeind blijven staan als de toezichthouder hem onder ogen kreeg? Dit is geen juridische exercitie maar een intuïtieve, snelle check: een boodschap die je liever niet aan een toezichthouder zou laten zien omdat die een ander beeld geeft dan wat je intern communiceert, overschrijdt vrijwel zeker de grens uit §3 — ongeacht wie de daadwerkelijke ontvanger is.</w:t>
      </w:r>
    </w:p>
    <w:p>
      <w:pPr>
        <w:spacing w:after="140" w:line="300"/>
      </w:pPr>
      <w:r>
        <w:rPr>
          <w:rFonts w:ascii="Calibri" w:cs="Calibri" w:eastAsia="Calibri" w:hAnsi="Calibri"/>
          <w:sz w:val="22"/>
          <w:szCs w:val="22"/>
        </w:rPr>
        <w:t xml:space="preserve">Deze toets werkt juist omdat een toezichthouder per definitie geen enkel belang heeft bij een gunstige framing — die vraagt alleen naar de feiten. Een boodschap die de DNB-toets doorstaat, is per definitie een boodschap waarin nadruk (deel 24, §4) is toegepast zonder dat feiten zijn weggelaten.</w:t>
      </w:r>
    </w:p>
    <w:p>
      <w:pPr>
        <w:pStyle w:val="Heading2"/>
        <w:spacing w:after="120" w:before="200"/>
      </w:pPr>
      <w:r>
        <w:rPr>
          <w:rFonts w:ascii="Georgia" w:cs="Georgia" w:eastAsia="Georgia" w:hAnsi="Georgia"/>
          <w:b/>
          <w:bCs/>
          <w:color w:val="2563A8"/>
          <w:sz w:val="28"/>
          <w:szCs w:val="28"/>
        </w:rPr>
        <w:t xml:space="preserve">5. Toegepast op programmamanagement-specifieke druk</w:t>
      </w:r>
    </w:p>
    <w:p>
      <w:pPr>
        <w:spacing w:after="140" w:line="300"/>
      </w:pPr>
      <w:r>
        <w:rPr>
          <w:rFonts w:ascii="Calibri" w:cs="Calibri" w:eastAsia="Calibri" w:hAnsi="Calibri"/>
          <w:sz w:val="22"/>
          <w:szCs w:val="22"/>
        </w:rPr>
        <w:t xml:space="preserve">Drie situaties waarin deze toets concreet houvast biedt:</w:t>
      </w:r>
    </w:p>
    <w:p>
      <w:pPr>
        <w:pStyle w:val="ListParagraph"/>
        <w:numPr>
          <w:ilvl w:val="0"/>
          <w:numId w:val="1"/>
        </w:numPr>
        <w:spacing w:after="100" w:line="280"/>
      </w:pPr>
      <w:r>
        <w:rPr>
          <w:rFonts w:ascii="Calibri" w:cs="Calibri" w:eastAsia="Calibri" w:hAnsi="Calibri"/>
          <w:b/>
          <w:bCs/>
          <w:sz w:val="22"/>
          <w:szCs w:val="22"/>
        </w:rPr>
        <w:t xml:space="preserve">Druk om een risico te verzachten in een voortgangsrapportage.</w:t>
      </w:r>
      <w:r>
        <w:rPr>
          <w:rFonts w:ascii="Calibri" w:cs="Calibri" w:eastAsia="Calibri" w:hAnsi="Calibri"/>
          <w:sz w:val="22"/>
          <w:szCs w:val="22"/>
        </w:rPr>
        <w:t xml:space="preserve"> Een risico dat intern als "hoog" wordt beoordeeld, mag niet als "beheerst" naar de stuurgroep gaan omdat dat "rustiger overkomt" — de DNB-toets legt dit meteen bloot.</w:t>
      </w:r>
    </w:p>
    <w:p>
      <w:pPr>
        <w:pStyle w:val="ListParagraph"/>
        <w:numPr>
          <w:ilvl w:val="0"/>
          <w:numId w:val="1"/>
        </w:numPr>
        <w:spacing w:after="100" w:line="280"/>
      </w:pPr>
      <w:r>
        <w:rPr>
          <w:rFonts w:ascii="Calibri" w:cs="Calibri" w:eastAsia="Calibri" w:hAnsi="Calibri"/>
          <w:b/>
          <w:bCs/>
          <w:sz w:val="22"/>
          <w:szCs w:val="22"/>
        </w:rPr>
        <w:t xml:space="preserve">Druk om voortgangscijfers gunstiger voor te stellen dan de werkelijkheid.</w:t>
      </w:r>
      <w:r>
        <w:rPr>
          <w:rFonts w:ascii="Calibri" w:cs="Calibri" w:eastAsia="Calibri" w:hAnsi="Calibri"/>
          <w:sz w:val="22"/>
          <w:szCs w:val="22"/>
        </w:rPr>
        <w:t xml:space="preserve"> Een SPI of CPI (niveau 1, deel 9) die is "opgepoetst" om een lastig gesprek te vermijden, faalt de DNB-toets zodra de onderliggende aannames zichtbaar worden gemaakt.</w:t>
      </w:r>
    </w:p>
    <w:p>
      <w:pPr>
        <w:pStyle w:val="ListParagraph"/>
        <w:numPr>
          <w:ilvl w:val="0"/>
          <w:numId w:val="1"/>
        </w:numPr>
        <w:spacing w:after="100" w:line="280"/>
      </w:pPr>
      <w:r>
        <w:rPr>
          <w:rFonts w:ascii="Calibri" w:cs="Calibri" w:eastAsia="Calibri" w:hAnsi="Calibri"/>
          <w:b/>
          <w:bCs/>
          <w:sz w:val="22"/>
          <w:szCs w:val="22"/>
        </w:rPr>
        <w:t xml:space="preserve">Druk om een afwijkende mening binnen het team te laten verdwijnen.</w:t>
      </w:r>
      <w:r>
        <w:rPr>
          <w:rFonts w:ascii="Calibri" w:cs="Calibri" w:eastAsia="Calibri" w:hAnsi="Calibri"/>
          <w:sz w:val="22"/>
          <w:szCs w:val="22"/>
        </w:rPr>
        <w:t xml:space="preserve"> Wanneer een teamlid een gegronde zorg uit die het team liever niet hoort, is het wegwuiven daarvan een vorm van het verbergen van onzekerheid — ook al gaat het niet om een formele rapportage.</w:t>
      </w:r>
    </w:p>
    <w:p>
      <w:pPr>
        <w:pStyle w:val="Heading2"/>
        <w:spacing w:after="120" w:before="200"/>
      </w:pPr>
      <w:r>
        <w:rPr>
          <w:rFonts w:ascii="Georgia" w:cs="Georgia" w:eastAsia="Georgia" w:hAnsi="Georgia"/>
          <w:b/>
          <w:bCs/>
          <w:color w:val="2563A8"/>
          <w:sz w:val="28"/>
          <w:szCs w:val="28"/>
        </w:rPr>
        <w:t xml:space="preserve">6. Toegepast op de Stelselovergang</w:t>
      </w:r>
    </w:p>
    <w:p>
      <w:pPr>
        <w:spacing w:after="140" w:line="300"/>
      </w:pPr>
      <w:r>
        <w:rPr>
          <w:rFonts w:ascii="Calibri" w:cs="Calibri" w:eastAsia="Calibri" w:hAnsi="Calibri"/>
          <w:sz w:val="22"/>
          <w:szCs w:val="22"/>
        </w:rPr>
        <w:t xml:space="preserve">Stel: het bestuur van Meridiaan wil, vlak vóór een belangrijke bestuursvergadering, een positiever beeld schetsen van de voortgang van de datakwaliteitscontrole dan de programmadirecteur intern voor waar houdt. De programmadirecteur staat voor de keuze: meegaan met de gewenste framing, of vasthouden aan een eerlijke weergave.</w:t>
      </w:r>
    </w:p>
    <w:p>
      <w:pPr>
        <w:spacing w:after="140" w:line="300"/>
      </w:pPr>
      <w:r>
        <w:rPr>
          <w:rFonts w:ascii="Calibri" w:cs="Calibri" w:eastAsia="Calibri" w:hAnsi="Calibri"/>
          <w:sz w:val="22"/>
          <w:szCs w:val="22"/>
        </w:rPr>
        <w:t xml:space="preserve">Toegepast op dit deel: </w:t>
      </w:r>
      <w:r>
        <w:rPr>
          <w:rFonts w:ascii="Calibri" w:cs="Calibri" w:eastAsia="Calibri" w:hAnsi="Calibri"/>
          <w:b/>
          <w:bCs/>
          <w:sz w:val="22"/>
          <w:szCs w:val="22"/>
        </w:rPr>
        <w:t xml:space="preserve">overtuigen</w:t>
      </w:r>
      <w:r>
        <w:rPr>
          <w:rFonts w:ascii="Calibri" w:cs="Calibri" w:eastAsia="Calibri" w:hAnsi="Calibri"/>
          <w:sz w:val="22"/>
          <w:szCs w:val="22"/>
        </w:rPr>
        <w:t xml:space="preserve"> betekent hier het bestuur helder voorleggen wat het risico is van een te positieve voorstelling, mét de feiten op tafel; als dat niet werkt, is </w:t>
      </w:r>
      <w:r>
        <w:rPr>
          <w:rFonts w:ascii="Calibri" w:cs="Calibri" w:eastAsia="Calibri" w:hAnsi="Calibri"/>
          <w:b/>
          <w:bCs/>
          <w:sz w:val="22"/>
          <w:szCs w:val="22"/>
        </w:rPr>
        <w:t xml:space="preserve">escaleren</w:t>
      </w:r>
      <w:r>
        <w:rPr>
          <w:rFonts w:ascii="Calibri" w:cs="Calibri" w:eastAsia="Calibri" w:hAnsi="Calibri"/>
          <w:sz w:val="22"/>
          <w:szCs w:val="22"/>
        </w:rPr>
        <w:t xml:space="preserve"> naar de sponsoring group of, bij aanhoudende druk, naar de derde verdedigingslinie (onafhankelijke audit, deel 18 §4) de volgende stap; en </w:t>
      </w:r>
      <w:r>
        <w:rPr>
          <w:rFonts w:ascii="Calibri" w:cs="Calibri" w:eastAsia="Calibri" w:hAnsi="Calibri"/>
          <w:b/>
          <w:bCs/>
          <w:sz w:val="22"/>
          <w:szCs w:val="22"/>
        </w:rPr>
        <w:t xml:space="preserve">nooit zwijgen</w:t>
      </w:r>
      <w:r>
        <w:rPr>
          <w:rFonts w:ascii="Calibri" w:cs="Calibri" w:eastAsia="Calibri" w:hAnsi="Calibri"/>
          <w:sz w:val="22"/>
          <w:szCs w:val="22"/>
        </w:rPr>
        <w:t xml:space="preserve"> betekent dat de eigen, eerlijke inschatting in elk geval vastligt in de formele rapportages en registers, ook als de uiteindelijke externe boodschap door anderen anders wordt ingekleurd. De DNB-toets is hier direct toepasbaar: zou deze voortgangsboodschap, zoals voorgesteld, overeind blijven als DNB hem zelf te zien kreeg?</w:t>
      </w:r>
    </w:p>
    <w:p>
      <w:pPr>
        <w:pStyle w:val="Heading2"/>
        <w:spacing w:after="120" w:before="200"/>
      </w:pPr>
      <w:r>
        <w:rPr>
          <w:rFonts w:ascii="Georgia" w:cs="Georgia" w:eastAsia="Georgia" w:hAnsi="Georgia"/>
          <w:b/>
          <w:bCs/>
          <w:color w:val="2563A8"/>
          <w:sz w:val="28"/>
          <w:szCs w:val="28"/>
        </w:rPr>
        <w:t xml:space="preserve">7. Vooruitblik</w:t>
      </w:r>
    </w:p>
    <w:p>
      <w:pPr>
        <w:spacing w:after="140" w:line="300"/>
      </w:pPr>
      <w:r>
        <w:rPr>
          <w:rFonts w:ascii="Calibri" w:cs="Calibri" w:eastAsia="Calibri" w:hAnsi="Calibri"/>
          <w:sz w:val="22"/>
          <w:szCs w:val="22"/>
        </w:rPr>
        <w:t xml:space="preserve">Deel 28 en 29 brengen alles uit niveau 3 samen in casuïstiek-marathons: een reeks korte, realistische situaties waarin je onder tijdsdruk moet oefenen met precies de afwegingen uit dit en de voorgaande delen.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3 Expert · Deel 27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2026-08-17T08:30:17.587Z</dcterms:created>
  <dcterms:modified xsi:type="dcterms:W3CDTF">2026-08-17T08:30:17.588Z</dcterms:modified>
</cp:coreProperties>
</file>

<file path=docProps/custom.xml><?xml version="1.0" encoding="utf-8"?>
<Properties xmlns="http://schemas.openxmlformats.org/officeDocument/2006/custom-properties" xmlns:vt="http://schemas.openxmlformats.org/officeDocument/2006/docPropsVTypes"/>
</file>