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28 — Casuïstiek-marathon I</w:t>
      </w:r>
    </w:p>
    <w:p>
      <w:pPr>
        <w:spacing w:after="300"/>
      </w:pPr>
      <w:r>
        <w:rPr>
          <w:rFonts w:ascii="Calibri" w:cs="Calibri" w:eastAsia="Calibri" w:hAnsi="Calibri"/>
          <w:i/>
          <w:iCs/>
          <w:color w:val="2563A8"/>
          <w:sz w:val="22"/>
          <w:szCs w:val="22"/>
        </w:rPr>
        <w:t xml:space="preserve">Niveau 3 Expert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28 (deel 6 van niveau 3)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deelnemers laten oefenen met het snel herkennen en combineren van cursusconcepten onder tijdsdruk — de vaardigheid die uiteindelijk in de masterproef (deel 30) en in de praktijk het meest wordt gevraagd.</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Introductie: waarom een marathon, de vorm (reader §1–3)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0:10–0:22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1 + korte nabespreking (3 min)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 + kort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0:25–0:37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2 + korte nabespreking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 + kort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0:40–0:52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3 + korte nabespreking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 + kort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1:05–1:17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4 + korte nabespreking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 + kort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5 + korte nabespreking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 + kort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1:35–1:47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6 + korte nabespreking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 + kort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Verdiepende plenaire bespreking: patronen over alle zes situaties heen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bl>
    <w:p>
      <w:pPr>
        <w:spacing w:after="140" w:line="300"/>
      </w:pPr>
      <w:r>
        <w:rPr>
          <w:rFonts w:ascii="Calibri" w:cs="Calibri" w:eastAsia="Calibri" w:hAnsi="Calibri"/>
          <w:i/>
          <w:iCs/>
          <w:sz w:val="22"/>
          <w:szCs w:val="22"/>
        </w:rPr>
        <w:t xml:space="preserve">(De resterende tijd van het dagdeel — indien van drie uur uitgegaan wordt — kan worden gebruikt voor extra verdieping op de situaties waar de groep het meest op vastliep, of voor een vroege start van deel 29.)</w:t>
      </w:r>
    </w:p>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Bewaak de tijdslimiet strikt — dit is het hele punt van de oefening.</w:t>
      </w:r>
      <w:r>
        <w:rPr>
          <w:rFonts w:ascii="Calibri" w:cs="Calibri" w:eastAsia="Calibri" w:hAnsi="Calibri"/>
          <w:sz w:val="22"/>
          <w:szCs w:val="22"/>
        </w:rPr>
        <w:t xml:space="preserve"> Onderbreek na twaalf minuten, ook als deelnemers nog niet klaar zijn; leer dat een onvolledig maar tijdig antwoord in de praktijk vaak waardevoller is dan een perfect antwoord dat te laat komt.</w:t>
      </w:r>
    </w:p>
    <w:p>
      <w:pPr>
        <w:pStyle w:val="ListParagraph"/>
        <w:numPr>
          <w:ilvl w:val="0"/>
          <w:numId w:val="1"/>
        </w:numPr>
        <w:spacing w:after="100" w:line="280"/>
      </w:pPr>
      <w:r>
        <w:rPr>
          <w:rFonts w:ascii="Calibri" w:cs="Calibri" w:eastAsia="Calibri" w:hAnsi="Calibri"/>
          <w:b/>
          <w:bCs/>
          <w:sz w:val="22"/>
          <w:szCs w:val="22"/>
        </w:rPr>
        <w:t xml:space="preserve">Houd de nabesprekingen na elke situatie kort en gericht (drie minuten): welke concepten hebben de meeste tweetallen herkend, en welke gemist?</w:t>
      </w:r>
      <w:r>
        <w:rPr>
          <w:rFonts w:ascii="Calibri" w:cs="Calibri" w:eastAsia="Calibri" w:hAnsi="Calibri"/>
          <w:sz w:val="22"/>
          <w:szCs w:val="22"/>
        </w:rPr>
        <w:t xml:space="preserve"> Bewaar diepere discussie voor de verdiepende bespreking aan het eind.</w:t>
      </w:r>
    </w:p>
    <w:p>
      <w:pPr>
        <w:pStyle w:val="ListParagraph"/>
        <w:numPr>
          <w:ilvl w:val="0"/>
          <w:numId w:val="1"/>
        </w:numPr>
        <w:spacing w:after="100" w:line="280"/>
      </w:pPr>
      <w:r>
        <w:rPr>
          <w:rFonts w:ascii="Calibri" w:cs="Calibri" w:eastAsia="Calibri" w:hAnsi="Calibri"/>
          <w:b/>
          <w:bCs/>
          <w:sz w:val="22"/>
          <w:szCs w:val="22"/>
        </w:rPr>
        <w:t xml:space="preserve">Bij situatie 1 is de valkuil dat deelnemers meteen "stoppen" roepen zonder de vier elementen van deel 26 te doorlopen.</w:t>
      </w:r>
      <w:r>
        <w:rPr>
          <w:rFonts w:ascii="Calibri" w:cs="Calibri" w:eastAsia="Calibri" w:hAnsi="Calibri"/>
          <w:sz w:val="22"/>
          <w:szCs w:val="22"/>
        </w:rPr>
        <w:t xml:space="preserve"> Stuur bij: ook onder tijdsdruk blijft de structuur (erkende bijdrage, relatieve afweging, lot van het werk, besluit bij de juiste laag) het uitgangspunt, ook al is het antwoord korter dan een volledig uitgewerkt stopadvies.</w:t>
      </w:r>
    </w:p>
    <w:p>
      <w:pPr>
        <w:pStyle w:val="ListParagraph"/>
        <w:numPr>
          <w:ilvl w:val="0"/>
          <w:numId w:val="1"/>
        </w:numPr>
        <w:spacing w:after="100" w:line="280"/>
      </w:pPr>
      <w:r>
        <w:rPr>
          <w:rFonts w:ascii="Calibri" w:cs="Calibri" w:eastAsia="Calibri" w:hAnsi="Calibri"/>
          <w:b/>
          <w:bCs/>
          <w:sz w:val="22"/>
          <w:szCs w:val="22"/>
        </w:rPr>
        <w:t xml:space="preserve">Bij situatie 2 is de valkuil dat deelnemers de teamleider als "slecht" wegzetten in plaats van het patroon te herkennen.</w:t>
      </w:r>
      <w:r>
        <w:rPr>
          <w:rFonts w:ascii="Calibri" w:cs="Calibri" w:eastAsia="Calibri" w:hAnsi="Calibri"/>
          <w:sz w:val="22"/>
          <w:szCs w:val="22"/>
        </w:rPr>
        <w:t xml:space="preserve"> Herinner aan de toon uit deel 19 en deel 27: patronen herkennen en er professioneel mee omgaan, geen wantrouwen cultiveren.</w:t>
      </w:r>
    </w:p>
    <w:p>
      <w:pPr>
        <w:pStyle w:val="ListParagraph"/>
        <w:numPr>
          <w:ilvl w:val="0"/>
          <w:numId w:val="1"/>
        </w:numPr>
        <w:spacing w:after="100" w:line="280"/>
      </w:pPr>
      <w:r>
        <w:rPr>
          <w:rFonts w:ascii="Calibri" w:cs="Calibri" w:eastAsia="Calibri" w:hAnsi="Calibri"/>
          <w:b/>
          <w:bCs/>
          <w:sz w:val="22"/>
          <w:szCs w:val="22"/>
        </w:rPr>
        <w:t xml:space="preserve">Bij de verdiepende bespreking (laatste 40 minuten): leg de zes situaties naast elkaar en vraag welke concepten het vaakst terugkwamen.</w:t>
      </w:r>
      <w:r>
        <w:rPr>
          <w:rFonts w:ascii="Calibri" w:cs="Calibri" w:eastAsia="Calibri" w:hAnsi="Calibri"/>
          <w:sz w:val="22"/>
          <w:szCs w:val="22"/>
        </w:rPr>
        <w:t xml:space="preserve"> Dit maakt zichtbaar dat een klein aantal kernideeën (registerwisseling, mandaat/invloed, de vier elementen van een stopadvies, geaggregeerd risico) telkens opnieuw toepasbaar zijn, ook in heel verschillende situaties.</w:t>
      </w:r>
    </w:p>
    <w:p>
      <w:pPr>
        <w:pStyle w:val="Heading2"/>
        <w:spacing w:after="120" w:before="200"/>
      </w:pPr>
      <w:r>
        <w:rPr>
          <w:rFonts w:ascii="Georgia" w:cs="Georgia" w:eastAsia="Georgia" w:hAnsi="Georgia"/>
          <w:b/>
          <w:bCs/>
          <w:color w:val="2563A8"/>
          <w:sz w:val="28"/>
          <w:szCs w:val="28"/>
        </w:rPr>
        <w:t xml:space="preserve">Modelantwoorden</w:t>
      </w:r>
    </w:p>
    <w:p>
      <w:pPr>
        <w:spacing w:after="140" w:line="300"/>
      </w:pPr>
      <w:r>
        <w:rPr>
          <w:rFonts w:ascii="Calibri" w:cs="Calibri" w:eastAsia="Calibri" w:hAnsi="Calibri"/>
          <w:b/>
          <w:bCs/>
          <w:sz w:val="22"/>
          <w:szCs w:val="22"/>
        </w:rPr>
        <w:t xml:space="preserve">Situatie 1 — De late melding.</w:t>
      </w:r>
      <w:r>
        <w:rPr>
          <w:rFonts w:ascii="Calibri" w:cs="Calibri" w:eastAsia="Calibri" w:hAnsi="Calibri"/>
          <w:sz w:val="22"/>
          <w:szCs w:val="22"/>
        </w:rPr>
        <w:t xml:space="preserve"> Kern: dit is een datakwaliteitsrisico op een kritiek data-element (deel 25, §3), ontdekt vlak vóór een onomkeerbaar besluit (deel 25, §7). De druk om de externe datum te halen is een sunk cost- en reputatiedruk (deel 26, §2) die niet mag prevaleren boven zorgvuldigheid. Een sterk antwoord bevat: eerst de omvang van het probleem snel maar grondig laten vaststellen (niet gokken), vervolgens een stopadvies langs de vier elementen (deel 26, §4) opstellen — waarschijnlijk uitkomend op een gefaseerde uitvoering die de niet-geraakte 92% laat doorgaan en de geraakte 8% uitstelt, in lijn met het scenario uit deel 26, §6.</w:t>
      </w:r>
    </w:p>
    <w:p>
      <w:pPr>
        <w:spacing w:after="140" w:line="300"/>
      </w:pPr>
      <w:r>
        <w:rPr>
          <w:rFonts w:ascii="Calibri" w:cs="Calibri" w:eastAsia="Calibri" w:hAnsi="Calibri"/>
          <w:b/>
          <w:bCs/>
          <w:sz w:val="22"/>
          <w:szCs w:val="22"/>
        </w:rPr>
        <w:t xml:space="preserve">Situatie 2 — De weggewuifde zorg.</w:t>
      </w:r>
      <w:r>
        <w:rPr>
          <w:rFonts w:ascii="Calibri" w:cs="Calibri" w:eastAsia="Calibri" w:hAnsi="Calibri"/>
          <w:sz w:val="22"/>
          <w:szCs w:val="22"/>
        </w:rPr>
        <w:t xml:space="preserve"> Kern: dit is een mandaat/invloed-vraagstuk (deel 27, §2). De programmamanager heeft hier geen directe hiërarchische lijn naar het teamlid, maar wel invloed en verantwoordelijkheid. Een sterk antwoord: eerst zelf beoordelen of de zorg gegrond lijkt (niet automatisch aannemen dat de teamleider ongelijk heeft, evenmin automatisch aannemen dat het teamlid gelijk heeft), vervolgens de teamleider aanspreken op het wegwuiven zelf — niet op de inhoud — en zo nodig een onafhankelijke, snelle toetsing laten uitvoeren (tweede lijn, deel 18, §4) om de zorg objectief te beoordelen.</w:t>
      </w:r>
    </w:p>
    <w:p>
      <w:pPr>
        <w:spacing w:after="140" w:line="300"/>
      </w:pPr>
      <w:r>
        <w:rPr>
          <w:rFonts w:ascii="Calibri" w:cs="Calibri" w:eastAsia="Calibri" w:hAnsi="Calibri"/>
          <w:b/>
          <w:bCs/>
          <w:sz w:val="22"/>
          <w:szCs w:val="22"/>
        </w:rPr>
        <w:t xml:space="preserve">Situatie 3 — Opgestapelde kleine risico's.</w:t>
      </w:r>
      <w:r>
        <w:rPr>
          <w:rFonts w:ascii="Calibri" w:cs="Calibri" w:eastAsia="Calibri" w:hAnsi="Calibri"/>
          <w:sz w:val="22"/>
          <w:szCs w:val="22"/>
        </w:rPr>
        <w:t xml:space="preserve"> Kern: dit is precies het geaggregeerde risico uit deel 18 (§2), nu concreet op programmaniveau binnen de Stelselovergang. Een sterk antwoord benoemt dat vier op zichzelf tolerante risico's samen een reëel risico op de wettelijke einddatum kunnen vormen, en adviseert een expliciete, geaggregeerde herbeoordeling — niet wachten tot een van de vier daadwerkelijk buiten tolerantie gaat.</w:t>
      </w:r>
    </w:p>
    <w:p>
      <w:pPr>
        <w:spacing w:after="140" w:line="300"/>
      </w:pPr>
      <w:r>
        <w:rPr>
          <w:rFonts w:ascii="Calibri" w:cs="Calibri" w:eastAsia="Calibri" w:hAnsi="Calibri"/>
          <w:b/>
          <w:bCs/>
          <w:sz w:val="22"/>
          <w:szCs w:val="22"/>
        </w:rPr>
        <w:t xml:space="preserve">Situatie 4 — De stille coalitie.</w:t>
      </w:r>
      <w:r>
        <w:rPr>
          <w:rFonts w:ascii="Calibri" w:cs="Calibri" w:eastAsia="Calibri" w:hAnsi="Calibri"/>
          <w:sz w:val="22"/>
          <w:szCs w:val="22"/>
        </w:rPr>
        <w:t xml:space="preserve"> Kern: dit is een coalitie in de zin van deel 19 (§4) — individueel weinig macht, gezamenlijk potentieel aanzienlijke invloed. Een sterk antwoord adviseert vroege, informele betrokkenheid (deel 19, §7: "vroeg betrekken bij het ontwerp" in plaats van "nog een keer uitleggen") vóórdat de coalitie zich formaliseert tot een officiële klacht.</w:t>
      </w:r>
    </w:p>
    <w:p>
      <w:pPr>
        <w:spacing w:after="140" w:line="300"/>
      </w:pPr>
      <w:r>
        <w:rPr>
          <w:rFonts w:ascii="Calibri" w:cs="Calibri" w:eastAsia="Calibri" w:hAnsi="Calibri"/>
          <w:b/>
          <w:bCs/>
          <w:sz w:val="22"/>
          <w:szCs w:val="22"/>
        </w:rPr>
        <w:t xml:space="preserve">Situatie 5 — De tranche die niet wil eindigen.</w:t>
      </w:r>
      <w:r>
        <w:rPr>
          <w:rFonts w:ascii="Calibri" w:cs="Calibri" w:eastAsia="Calibri" w:hAnsi="Calibri"/>
          <w:sz w:val="22"/>
          <w:szCs w:val="22"/>
        </w:rPr>
        <w:t xml:space="preserve"> Kern: het bestuurslid redeneert vanuit sunk cost (deel 26, §2). Een sterk antwoord herkent dit expliciet, en herformuleert de vraag naar voren kijkend: wat levert de resterende inspanning nog op, tegen welke resterende kosten en risico's, vergeleken met alternatieven (waaronder mogelijk uitstel of herprioriteren, deel 26 §5) — zonder de politieke realiteit te negeren, maar ook zonder eraan toe te geven zonder onderbouwing.</w:t>
      </w:r>
    </w:p>
    <w:p>
      <w:pPr>
        <w:spacing w:after="140" w:line="300"/>
      </w:pPr>
      <w:r>
        <w:rPr>
          <w:rFonts w:ascii="Calibri" w:cs="Calibri" w:eastAsia="Calibri" w:hAnsi="Calibri"/>
          <w:b/>
          <w:bCs/>
          <w:sz w:val="22"/>
          <w:szCs w:val="22"/>
        </w:rPr>
        <w:t xml:space="preserve">Situatie 6 — Het rapport van de accountant.</w:t>
      </w:r>
      <w:r>
        <w:rPr>
          <w:rFonts w:ascii="Calibri" w:cs="Calibri" w:eastAsia="Calibri" w:hAnsi="Calibri"/>
          <w:sz w:val="22"/>
          <w:szCs w:val="22"/>
        </w:rPr>
        <w:t xml:space="preserve"> Kern: dit is een directe registerwisseling-valkuil (deel 24, §4) — het weglaten van een niet-blokkerende maar relevante bevinding "om het niet te compliceren" is precies de rode vlag die als misleiding kwalificeert. Een sterk antwoord past de DNB-toets toe (deel 27, §4): zou deze boodschap, zonder de bijlage, overeind blijven als DNB het volledige rapport zelf onder ogen kreeg? Het advies is de bevinding wél op te nemen, eventueel met gepaste nadruk (het is geen blokkerende bevinding) maar niet weggelaten.</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"Is twaalf minuten niet te kort om een goed antwoord te schrijven?"</w:t>
      </w:r>
      <w:r>
        <w:rPr>
          <w:rFonts w:ascii="Calibri" w:cs="Calibri" w:eastAsia="Calibri" w:hAnsi="Calibri"/>
          <w:sz w:val="22"/>
          <w:szCs w:val="22"/>
        </w:rPr>
        <w:t xml:space="preserve"> Dat is precies het punt — de oefening test niet volledigheid, maar het vermogen om snel de kern te herkennen en een verdedigbare eerste stap te formuleren, wat in de praktijk vaker wordt gevraagd dan een uitgebreide analyse.</w:t>
      </w:r>
    </w:p>
    <w:p>
      <w:pPr>
        <w:pStyle w:val="ListParagraph"/>
        <w:numPr>
          <w:ilvl w:val="0"/>
          <w:numId w:val="1"/>
        </w:numPr>
        <w:spacing w:after="100" w:line="280"/>
      </w:pPr>
      <w:r>
        <w:rPr>
          <w:rFonts w:ascii="Calibri" w:cs="Calibri" w:eastAsia="Calibri" w:hAnsi="Calibri"/>
          <w:i/>
          <w:iCs/>
          <w:sz w:val="22"/>
          <w:szCs w:val="22"/>
        </w:rPr>
        <w:t xml:space="preserve">"Moeten alle zes situaties tot hetzelfde soort antwoord leiden?"</w:t>
      </w:r>
      <w:r>
        <w:rPr>
          <w:rFonts w:ascii="Calibri" w:cs="Calibri" w:eastAsia="Calibri" w:hAnsi="Calibri"/>
          <w:sz w:val="22"/>
          <w:szCs w:val="22"/>
        </w:rPr>
        <w:t xml:space="preserve"> Nee — de situaties zijn bewust verschillend qua aard (datakwaliteit, ethiek, risico, politiek, sunk cost, registerwisseling); het doel is juist te oefenen met het herkennen welk kader van toepassing is, niet één vast stramien toe te passen op alles.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28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2026-08-17T08:29:52.054Z</dcterms:created>
  <dcterms:modified xsi:type="dcterms:W3CDTF">2026-08-17T08:29:52.054Z</dcterms:modified>
</cp:coreProperties>
</file>

<file path=docProps/custom.xml><?xml version="1.0" encoding="utf-8"?>
<Properties xmlns="http://schemas.openxmlformats.org/officeDocument/2006/custom-properties" xmlns:vt="http://schemas.openxmlformats.org/officeDocument/2006/docPropsVTypes"/>
</file>