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28 — Casuïstiek-marathon I</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1. Waarom een marathon</w:t>
      </w:r>
    </w:p>
    <w:p>
      <w:pPr>
        <w:spacing w:after="140" w:line="300"/>
      </w:pPr>
      <w:r>
        <w:rPr>
          <w:rFonts w:ascii="Calibri" w:cs="Calibri" w:eastAsia="Calibri" w:hAnsi="Calibri"/>
          <w:sz w:val="22"/>
          <w:szCs w:val="22"/>
        </w:rPr>
        <w:t xml:space="preserve">De delen 23 tot en met 27 hebben, elk apart, een vaardigheid of inzicht opgebouwd: assessmentvaardigheid, toezicht en registerwisseling, datakwaliteit en onomkeerbaarheid, verdedigbaar stoppen, leiderschap onder druk. In de praktijk komen deze zelden geïsoleerd voor — een enkele situatie op de werkvloer raakt vaak meerdere van deze thema's tegelijk, en vraagt om een snel, samenhangend antwoord. Dit deel oefent precies dat: zes realistische situaties, elk met een tijdslimiet van </w:t>
      </w:r>
      <w:r>
        <w:rPr>
          <w:rFonts w:ascii="Calibri" w:cs="Calibri" w:eastAsia="Calibri" w:hAnsi="Calibri"/>
          <w:b/>
          <w:bCs/>
          <w:sz w:val="22"/>
          <w:szCs w:val="22"/>
        </w:rPr>
        <w:t xml:space="preserve">twaalf minuten</w:t>
      </w:r>
      <w:r>
        <w:rPr>
          <w:rFonts w:ascii="Calibri" w:cs="Calibri" w:eastAsia="Calibri" w:hAnsi="Calibri"/>
          <w:sz w:val="22"/>
          <w:szCs w:val="22"/>
        </w:rPr>
        <w:t xml:space="preserve">, waarin je moet herkennen welke concepten uit de hele cursus van toepassing zijn en tot een concreet, kort antwoord moet komen.</w:t>
      </w:r>
    </w:p>
    <w:p>
      <w:pPr>
        <w:pStyle w:val="Heading2"/>
        <w:spacing w:after="120" w:before="200"/>
      </w:pPr>
      <w:r>
        <w:rPr>
          <w:rFonts w:ascii="Georgia" w:cs="Georgia" w:eastAsia="Georgia" w:hAnsi="Georgia"/>
          <w:b/>
          <w:bCs/>
          <w:color w:val="2563A8"/>
          <w:sz w:val="28"/>
          <w:szCs w:val="28"/>
        </w:rPr>
        <w:t xml:space="preserve">2. De vorm</w:t>
      </w:r>
    </w:p>
    <w:p>
      <w:pPr>
        <w:spacing w:after="140" w:line="300"/>
      </w:pPr>
      <w:r>
        <w:rPr>
          <w:rFonts w:ascii="Calibri" w:cs="Calibri" w:eastAsia="Calibri" w:hAnsi="Calibri"/>
          <w:sz w:val="22"/>
          <w:szCs w:val="22"/>
        </w:rPr>
        <w:t xml:space="preserve">Voor elke situatie geldt: lees de casus, en schrijf binnen twaalf minuten een antwoord van ongeveer 200 woorden waarin je (a) benoemt welke concepten uit de cursus hier spelen, en (b) een concreet, verdedigbaar advies of vervolgstap formuleert. Dit is bewust kort en onder tijdsdruk — vergelijkbaar met hoe een programmamanager in de praktijk zelden de luxe heeft van een dag bedenktijd voordat een reactie wordt verwacht.</w:t>
      </w:r>
    </w:p>
    <w:p>
      <w:pPr>
        <w:spacing w:after="140" w:line="300"/>
      </w:pPr>
      <w:r>
        <w:rPr>
          <w:rFonts w:ascii="Calibri" w:cs="Calibri" w:eastAsia="Calibri" w:hAnsi="Calibri"/>
          <w:sz w:val="22"/>
          <w:szCs w:val="22"/>
        </w:rPr>
        <w:t xml:space="preserve">Dit deel bevat de eerste zes situaties, elk op zichzelf staand. Deel 29 volgt met een tweede reeks, met een extra laag: bij elke situatie moet je bewust </w:t>
      </w:r>
      <w:r>
        <w:rPr>
          <w:rFonts w:ascii="Calibri" w:cs="Calibri" w:eastAsia="Calibri" w:hAnsi="Calibri"/>
          <w:b/>
          <w:bCs/>
          <w:sz w:val="22"/>
          <w:szCs w:val="22"/>
        </w:rPr>
        <w:t xml:space="preserve">wisselen van register</w:t>
      </w:r>
      <w:r>
        <w:rPr>
          <w:rFonts w:ascii="Calibri" w:cs="Calibri" w:eastAsia="Calibri" w:hAnsi="Calibri"/>
          <w:sz w:val="22"/>
          <w:szCs w:val="22"/>
        </w:rPr>
        <w:t xml:space="preserve"> tussen een boodschap aan het bestuur en een boodschap aan een toezichthouder (deel 24), een zwaardere oefening die op deel 28 voortbouwt.</w:t>
      </w:r>
    </w:p>
    <w:p>
      <w:pPr>
        <w:pStyle w:val="Heading2"/>
        <w:spacing w:after="120" w:before="200"/>
      </w:pPr>
      <w:r>
        <w:rPr>
          <w:rFonts w:ascii="Georgia" w:cs="Georgia" w:eastAsia="Georgia" w:hAnsi="Georgia"/>
          <w:b/>
          <w:bCs/>
          <w:color w:val="2563A8"/>
          <w:sz w:val="28"/>
          <w:szCs w:val="28"/>
        </w:rPr>
        <w:t xml:space="preserve">3. Werkwijze</w:t>
      </w:r>
    </w:p>
    <w:p>
      <w:pPr>
        <w:spacing w:after="140" w:line="300"/>
      </w:pPr>
      <w:r>
        <w:rPr>
          <w:rFonts w:ascii="Calibri" w:cs="Calibri" w:eastAsia="Calibri" w:hAnsi="Calibri"/>
          <w:sz w:val="22"/>
          <w:szCs w:val="22"/>
        </w:rPr>
        <w:t xml:space="preserve">Werk de zes situaties in het werkboek individueel of in tweetallen uit, strikt binnen de tijdslimiet per situatie. Vergelijk na elke situatie kort met een ander tweetal of met de modelantwoorden in de docentenhandleiding — niet om een "juist" antwoord te zoeken, maar om te zien welke concepten anderen wél of niet hebben herkend.</w:t>
      </w:r>
    </w:p>
    <w:p>
      <w:pPr>
        <w:pStyle w:val="Heading2"/>
        <w:spacing w:after="120" w:before="200"/>
      </w:pPr>
      <w:r>
        <w:rPr>
          <w:rFonts w:ascii="Georgia" w:cs="Georgia" w:eastAsia="Georgia" w:hAnsi="Georgia"/>
          <w:b/>
          <w:bCs/>
          <w:color w:val="2563A8"/>
          <w:sz w:val="28"/>
          <w:szCs w:val="28"/>
        </w:rPr>
        <w:t xml:space="preserve">4. Vooruitblik</w:t>
      </w:r>
    </w:p>
    <w:p>
      <w:pPr>
        <w:spacing w:after="140" w:line="300"/>
      </w:pPr>
      <w:r>
        <w:rPr>
          <w:rFonts w:ascii="Calibri" w:cs="Calibri" w:eastAsia="Calibri" w:hAnsi="Calibri"/>
          <w:sz w:val="22"/>
          <w:szCs w:val="22"/>
        </w:rPr>
        <w:t xml:space="preserve">Na deze marathon, en de tweede in deel 29, is niveau 3 inhoudelijk compleet. Deel 30 sluit de hele cursus af met de masterproef: een boardsimulatie waarin alles — van de zeven bevindingen uit deel 1 tot de ethische afwegingen uit deel 27 — samenkomt.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28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2026-08-17T08:29:51.914Z</dcterms:created>
  <dcterms:modified xsi:type="dcterms:W3CDTF">2026-08-17T08:29:51.915Z</dcterms:modified>
</cp:coreProperties>
</file>

<file path=docProps/custom.xml><?xml version="1.0" encoding="utf-8"?>
<Properties xmlns="http://schemas.openxmlformats.org/officeDocument/2006/custom-properties" xmlns:vt="http://schemas.openxmlformats.org/officeDocument/2006/docPropsVTypes"/>
</file>