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29 — Casuïstiek-marathon II: registerwisseling</w:t>
      </w:r>
    </w:p>
    <w:p>
      <w:pPr>
        <w:spacing w:after="300"/>
      </w:pPr>
      <w:r>
        <w:rPr>
          <w:rFonts w:ascii="Calibri" w:cs="Calibri" w:eastAsia="Calibri" w:hAnsi="Calibri"/>
          <w:i/>
          <w:iCs/>
          <w:color w:val="2563A8"/>
          <w:sz w:val="22"/>
          <w:szCs w:val="22"/>
        </w:rPr>
        <w:t xml:space="preserve">Niveau 3 Expert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29 (deel 7 van niveau 3)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de registerwisseling-vaardigheid uit deel 24 en 27 laten oefenen in de zwaarste vorm: twee, gelijktijdig te schrijven boodschappen die consistent moeten zijn terwijl ze echt verschillend klinken. Dit is directe voorbereiding op de masterproef (deel 30).</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28, introductie: één laag zwaarder (reader §1–3)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Situatie 1 (15 min)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0:25–0:30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Korte nabespreking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Situatie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Korte nabespreking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Situatie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Situatie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Korte nabespreking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Situatie 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Korte nabespreking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Situatie 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Uitwisseling in tweetallen + verdiepende plenaire bespreking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Laat bij elke nabespreking expliciet hardop een bestuursversie en een toezichthouderversie naast elkaar leggen, zodat het contrast zichtbaar wordt voor de hele groep</w:t>
      </w:r>
      <w:r>
        <w:rPr>
          <w:rFonts w:ascii="Calibri" w:cs="Calibri" w:eastAsia="Calibri" w:hAnsi="Calibri"/>
          <w:sz w:val="22"/>
          <w:szCs w:val="22"/>
        </w:rPr>
        <w:t xml:space="preserve"> — dit werkt sterker dan alleen de modelantwoorden voorlezen.</w:t>
      </w:r>
    </w:p>
    <w:p>
      <w:pPr>
        <w:pStyle w:val="ListParagraph"/>
        <w:numPr>
          <w:ilvl w:val="0"/>
          <w:numId w:val="1"/>
        </w:numPr>
        <w:spacing w:after="100" w:line="280"/>
      </w:pPr>
      <w:r>
        <w:rPr>
          <w:rFonts w:ascii="Calibri" w:cs="Calibri" w:eastAsia="Calibri" w:hAnsi="Calibri"/>
          <w:b/>
          <w:bCs/>
          <w:sz w:val="22"/>
          <w:szCs w:val="22"/>
        </w:rPr>
        <w:t xml:space="preserve">Situatie 4 is bewust een tegenvoorbeeld: geen toezichthouder is hier relevant.</w:t>
      </w:r>
      <w:r>
        <w:rPr>
          <w:rFonts w:ascii="Calibri" w:cs="Calibri" w:eastAsia="Calibri" w:hAnsi="Calibri"/>
          <w:sz w:val="22"/>
          <w:szCs w:val="22"/>
        </w:rPr>
        <w:t xml:space="preserve"> Dit voorkomt dat deelnemers registerwisseling gaan toepassen op elke situatie, ook waar dat niet gepast is — een net zo belangrijke vaardigheid als wél wisselen wanneer dat hoort.</w:t>
      </w:r>
    </w:p>
    <w:p>
      <w:pPr>
        <w:pStyle w:val="ListParagraph"/>
        <w:numPr>
          <w:ilvl w:val="0"/>
          <w:numId w:val="1"/>
        </w:numPr>
        <w:spacing w:after="100" w:line="280"/>
      </w:pPr>
      <w:r>
        <w:rPr>
          <w:rFonts w:ascii="Calibri" w:cs="Calibri" w:eastAsia="Calibri" w:hAnsi="Calibri"/>
          <w:b/>
          <w:bCs/>
          <w:sz w:val="22"/>
          <w:szCs w:val="22"/>
        </w:rPr>
        <w:t xml:space="preserve">Bij situatie 5 is de kern van de oefening het weerleggen van een schijnbaar redelijk argument ("geen formeel onderdeel van...").</w:t>
      </w:r>
      <w:r>
        <w:rPr>
          <w:rFonts w:ascii="Calibri" w:cs="Calibri" w:eastAsia="Calibri" w:hAnsi="Calibri"/>
          <w:sz w:val="22"/>
          <w:szCs w:val="22"/>
        </w:rPr>
        <w:t xml:space="preserve"> Laat deelnemers hardop benoemen waarom dit argument niet standhoudt — het is precies het soort rationalisatie dat deel 24 als rode vlag identificeert.</w:t>
      </w:r>
    </w:p>
    <w:p>
      <w:pPr>
        <w:pStyle w:val="ListParagraph"/>
        <w:numPr>
          <w:ilvl w:val="0"/>
          <w:numId w:val="1"/>
        </w:numPr>
        <w:spacing w:after="100" w:line="280"/>
      </w:pPr>
      <w:r>
        <w:rPr>
          <w:rFonts w:ascii="Calibri" w:cs="Calibri" w:eastAsia="Calibri" w:hAnsi="Calibri"/>
          <w:b/>
          <w:bCs/>
          <w:sz w:val="22"/>
          <w:szCs w:val="22"/>
        </w:rPr>
        <w:t xml:space="preserve">Bij situatie 6 komt alles samen — behandel dit als een mini-generale repetitie voor de masterproef.</w:t>
      </w:r>
      <w:r>
        <w:rPr>
          <w:rFonts w:ascii="Calibri" w:cs="Calibri" w:eastAsia="Calibri" w:hAnsi="Calibri"/>
          <w:sz w:val="22"/>
          <w:szCs w:val="22"/>
        </w:rPr>
        <w:t xml:space="preserve"> Neem hier iets meer tijd voor de nabespreking dan bij de andere situaties.</w:t>
      </w:r>
    </w:p>
    <w:p>
      <w:pPr>
        <w:pStyle w:val="Heading2"/>
        <w:spacing w:after="120" w:before="200"/>
      </w:pPr>
      <w:r>
        <w:rPr>
          <w:rFonts w:ascii="Georgia" w:cs="Georgia" w:eastAsia="Georgia" w:hAnsi="Georgia"/>
          <w:b/>
          <w:bCs/>
          <w:color w:val="2563A8"/>
          <w:sz w:val="28"/>
          <w:szCs w:val="28"/>
        </w:rPr>
        <w:t xml:space="preserve">Modelantwoorden</w:t>
      </w:r>
    </w:p>
    <w:p>
      <w:pPr>
        <w:spacing w:after="140" w:line="300"/>
      </w:pPr>
      <w:r>
        <w:rPr>
          <w:rFonts w:ascii="Calibri" w:cs="Calibri" w:eastAsia="Calibri" w:hAnsi="Calibri"/>
          <w:b/>
          <w:bCs/>
          <w:sz w:val="22"/>
          <w:szCs w:val="22"/>
        </w:rPr>
        <w:t xml:space="preserve">Situatie 1 — Vertraging in tranche 3</w:t>
      </w:r>
    </w:p>
    <w:p>
      <w:pPr>
        <w:spacing w:after="140" w:line="300"/>
      </w:pPr>
      <w:r>
        <w:rPr>
          <w:rFonts w:ascii="Calibri" w:cs="Calibri" w:eastAsia="Calibri" w:hAnsi="Calibri"/>
          <w:i/>
          <w:iCs/>
          <w:sz w:val="22"/>
          <w:szCs w:val="22"/>
        </w:rPr>
        <w:t xml:space="preserve">Aan het bestuur:</w:t>
      </w:r>
      <w:r>
        <w:rPr>
          <w:rFonts w:ascii="Calibri" w:cs="Calibri" w:eastAsia="Calibri" w:hAnsi="Calibri"/>
          <w:sz w:val="22"/>
          <w:szCs w:val="22"/>
        </w:rPr>
        <w:t xml:space="preserve"> "Tranche 3 loopt circa twee maanden achter door onderschatte handmatige correctiewerkzaamheden bij een deelgroep diensttijdgegevens. De wettelijke deadline is naar huidig inzicht nog haalbaar, met een kleinere marge dan gewenst. We zetten extra capaciteit in op de correctiewerkzaamheden en monitoren wekelijks. Ik adviseer dit als aandachtspunt te blijven volgen bij de volgende Tranche Review."</w:t>
      </w:r>
    </w:p>
    <w:p>
      <w:pPr>
        <w:spacing w:after="140" w:line="300"/>
      </w:pPr>
      <w:r>
        <w:rPr>
          <w:rFonts w:ascii="Calibri" w:cs="Calibri" w:eastAsia="Calibri" w:hAnsi="Calibri"/>
          <w:i/>
          <w:iCs/>
          <w:sz w:val="22"/>
          <w:szCs w:val="22"/>
        </w:rPr>
        <w:t xml:space="preserve">Aan DNB:</w:t>
      </w:r>
      <w:r>
        <w:rPr>
          <w:rFonts w:ascii="Calibri" w:cs="Calibri" w:eastAsia="Calibri" w:hAnsi="Calibri"/>
          <w:sz w:val="22"/>
          <w:szCs w:val="22"/>
        </w:rPr>
        <w:t xml:space="preserve"> "Bij de uitvoering van tranche 3 is een vertraging van circa twee maanden opgetreden bij de correctie van een deelgroep diensttijdgegevens. Dit raakt de planning, niet de datakwaliteit zelf: de correctiewerkzaamheden zijn juist bedoeld om de kwaliteit te waarborgen. De wettelijke termijn wordt naar huidig inzicht gehaald; wij informeren u bij een gewijzigd beeld."</w:t>
      </w:r>
    </w:p>
    <w:p>
      <w:pPr>
        <w:spacing w:after="140" w:line="300"/>
      </w:pPr>
      <w:r>
        <w:rPr>
          <w:rFonts w:ascii="Calibri" w:cs="Calibri" w:eastAsia="Calibri" w:hAnsi="Calibri"/>
          <w:b/>
          <w:bCs/>
          <w:sz w:val="22"/>
          <w:szCs w:val="22"/>
        </w:rPr>
        <w:t xml:space="preserve">Situatie 2 — Een onverwachte dis-benefit</w:t>
      </w:r>
    </w:p>
    <w:p>
      <w:pPr>
        <w:spacing w:after="140" w:line="300"/>
      </w:pPr>
      <w:r>
        <w:rPr>
          <w:rFonts w:ascii="Calibri" w:cs="Calibri" w:eastAsia="Calibri" w:hAnsi="Calibri"/>
          <w:i/>
          <w:iCs/>
          <w:sz w:val="22"/>
          <w:szCs w:val="22"/>
        </w:rPr>
        <w:t xml:space="preserve">Aan het bestuur:</w:t>
      </w:r>
      <w:r>
        <w:rPr>
          <w:rFonts w:ascii="Calibri" w:cs="Calibri" w:eastAsia="Calibri" w:hAnsi="Calibri"/>
          <w:sz w:val="22"/>
          <w:szCs w:val="22"/>
        </w:rPr>
        <w:t xml:space="preserve"> "Na livegang van het portaal is het aantal telefonische vragen tijdelijk 30% hoger dan de eerder voorziene toename. De oorzaak is geïdentificeerd en wordt verholpen; extra capaciteit is ingezet bij de klantenservice. We verwachten normalisatie binnen enkele weken."</w:t>
      </w:r>
    </w:p>
    <w:p>
      <w:pPr>
        <w:spacing w:after="140" w:line="300"/>
      </w:pPr>
      <w:r>
        <w:rPr>
          <w:rFonts w:ascii="Calibri" w:cs="Calibri" w:eastAsia="Calibri" w:hAnsi="Calibri"/>
          <w:i/>
          <w:iCs/>
          <w:sz w:val="22"/>
          <w:szCs w:val="22"/>
        </w:rPr>
        <w:t xml:space="preserve">Aan de AFM:</w:t>
      </w:r>
      <w:r>
        <w:rPr>
          <w:rFonts w:ascii="Calibri" w:cs="Calibri" w:eastAsia="Calibri" w:hAnsi="Calibri"/>
          <w:sz w:val="22"/>
          <w:szCs w:val="22"/>
        </w:rPr>
        <w:t xml:space="preserve"> "Sinds de livegang van het portaal ervaart een deel van de deelnemers meer behoefte aan telefonische ondersteuning dan voorzien. De oorzaak is bekend en wordt op korte termijn verholpen; ondertussen is de bereikbaarheid van de klantenservice tijdelijk uitgebreid, zodat de informatievoorziening aan deelnemers correct en tijdig blijft."</w:t>
      </w:r>
    </w:p>
    <w:p>
      <w:pPr>
        <w:spacing w:after="140" w:line="300"/>
      </w:pPr>
      <w:r>
        <w:rPr>
          <w:rFonts w:ascii="Calibri" w:cs="Calibri" w:eastAsia="Calibri" w:hAnsi="Calibri"/>
          <w:b/>
          <w:bCs/>
          <w:sz w:val="22"/>
          <w:szCs w:val="22"/>
        </w:rPr>
        <w:t xml:space="preserve">Situatie 3 — Een net op tijd gevonden fout</w:t>
      </w:r>
    </w:p>
    <w:p>
      <w:pPr>
        <w:spacing w:after="140" w:line="300"/>
      </w:pPr>
      <w:r>
        <w:rPr>
          <w:rFonts w:ascii="Calibri" w:cs="Calibri" w:eastAsia="Calibri" w:hAnsi="Calibri"/>
          <w:i/>
          <w:iCs/>
          <w:sz w:val="22"/>
          <w:szCs w:val="22"/>
        </w:rPr>
        <w:t xml:space="preserve">Aan het bestuur:</w:t>
      </w:r>
      <w:r>
        <w:rPr>
          <w:rFonts w:ascii="Calibri" w:cs="Calibri" w:eastAsia="Calibri" w:hAnsi="Calibri"/>
          <w:sz w:val="22"/>
          <w:szCs w:val="22"/>
        </w:rPr>
        <w:t xml:space="preserve"> "Onze interne controle heeft, vóór enige uitvoering, een rekenfout in de omzettingsmethode voor een kleine deelgroep ontdekt en gecorrigeerd. Geen enkele deelnemer is geraakt. Dit bevestigt dat onze kwaliteitsborging functioneert zoals bedoeld."</w:t>
      </w:r>
    </w:p>
    <w:p>
      <w:pPr>
        <w:spacing w:after="140" w:line="300"/>
      </w:pPr>
      <w:r>
        <w:rPr>
          <w:rFonts w:ascii="Calibri" w:cs="Calibri" w:eastAsia="Calibri" w:hAnsi="Calibri"/>
          <w:i/>
          <w:iCs/>
          <w:sz w:val="22"/>
          <w:szCs w:val="22"/>
        </w:rPr>
        <w:t xml:space="preserve">Aan DNB:</w:t>
      </w:r>
      <w:r>
        <w:rPr>
          <w:rFonts w:ascii="Calibri" w:cs="Calibri" w:eastAsia="Calibri" w:hAnsi="Calibri"/>
          <w:sz w:val="22"/>
          <w:szCs w:val="22"/>
        </w:rPr>
        <w:t xml:space="preserve"> "In het kader van onze lopende kwaliteitsborging is vóór uitvoering een rekenfout in de omzettingsmethode voor een kleine deelgroep geconstateerd en gecorrigeerd. Er heeft geen uitvoering op basis van de foutieve methode plaatsgevonden. We melden dit ter informatie en als voorbeeld van de werking van onze interne controle."</w:t>
      </w:r>
    </w:p>
    <w:p>
      <w:pPr>
        <w:spacing w:after="140" w:line="300"/>
      </w:pPr>
      <w:r>
        <w:rPr>
          <w:rFonts w:ascii="Calibri" w:cs="Calibri" w:eastAsia="Calibri" w:hAnsi="Calibri"/>
          <w:b/>
          <w:bCs/>
          <w:sz w:val="22"/>
          <w:szCs w:val="22"/>
        </w:rPr>
        <w:t xml:space="preserve">Situatie 4 — Resourceconflict</w:t>
      </w:r>
    </w:p>
    <w:p>
      <w:pPr>
        <w:spacing w:after="140" w:line="300"/>
      </w:pPr>
      <w:r>
        <w:rPr>
          <w:rFonts w:ascii="Calibri" w:cs="Calibri" w:eastAsia="Calibri" w:hAnsi="Calibri"/>
          <w:i/>
          <w:iCs/>
          <w:sz w:val="22"/>
          <w:szCs w:val="22"/>
        </w:rPr>
        <w:t xml:space="preserve">Aan het bestuur:</w:t>
      </w:r>
      <w:r>
        <w:rPr>
          <w:rFonts w:ascii="Calibri" w:cs="Calibri" w:eastAsia="Calibri" w:hAnsi="Calibri"/>
          <w:sz w:val="22"/>
          <w:szCs w:val="22"/>
        </w:rPr>
        <w:t xml:space="preserve"> "De datamigratie en de communicatie-uitvoering hebben in dezelfde weken dezelfde, schaarse juridische expertise nodig. Zonder prioritering lopen beide een risico op vertraging van enkele weken. Ik vraag het bestuur een prioriteit vast te stellen tussen beide deelprojecten voor deze periode."</w:t>
      </w:r>
    </w:p>
    <w:p>
      <w:pPr>
        <w:spacing w:after="140" w:line="300"/>
      </w:pPr>
      <w:r>
        <w:rPr>
          <w:rFonts w:ascii="Calibri" w:cs="Calibri" w:eastAsia="Calibri" w:hAnsi="Calibri"/>
          <w:i/>
          <w:iCs/>
          <w:sz w:val="22"/>
          <w:szCs w:val="22"/>
        </w:rPr>
        <w:t xml:space="preserve">Interne notitie (geen toezichthouder relevant):</w:t>
      </w:r>
      <w:r>
        <w:rPr>
          <w:rFonts w:ascii="Calibri" w:cs="Calibri" w:eastAsia="Calibri" w:hAnsi="Calibri"/>
          <w:sz w:val="22"/>
          <w:szCs w:val="22"/>
        </w:rPr>
        <w:t xml:space="preserve"> dit is een operationele capaciteitskwestie zonder directe impact op datakwaliteit of deelnemersbelang, zolang tijdig wordt geprioriteerd — er is geen materieel risico dat toezichtrelevant is, alleen een interne afweging over resource-inzet. Zodra een van beide projecten daadwerkelijk buiten tolerantie dreigt te gaan mét gevolgen voor datakwaliteit of deelnemers, verandert dat beeld en wordt het wél toezichtrelevant.</w:t>
      </w:r>
    </w:p>
    <w:p>
      <w:pPr>
        <w:spacing w:after="140" w:line="300"/>
      </w:pPr>
      <w:r>
        <w:rPr>
          <w:rFonts w:ascii="Calibri" w:cs="Calibri" w:eastAsia="Calibri" w:hAnsi="Calibri"/>
          <w:b/>
          <w:bCs/>
          <w:sz w:val="22"/>
          <w:szCs w:val="22"/>
        </w:rPr>
        <w:t xml:space="preserve">Situatie 5 — Interne twijfel over readiness</w:t>
      </w:r>
    </w:p>
    <w:p>
      <w:pPr>
        <w:spacing w:after="140" w:line="300"/>
      </w:pPr>
      <w:r>
        <w:rPr>
          <w:rFonts w:ascii="Calibri" w:cs="Calibri" w:eastAsia="Calibri" w:hAnsi="Calibri"/>
          <w:i/>
          <w:iCs/>
          <w:sz w:val="22"/>
          <w:szCs w:val="22"/>
        </w:rPr>
        <w:t xml:space="preserve">Aan het bestuur (weerlegging):</w:t>
      </w:r>
      <w:r>
        <w:rPr>
          <w:rFonts w:ascii="Calibri" w:cs="Calibri" w:eastAsia="Calibri" w:hAnsi="Calibri"/>
          <w:sz w:val="22"/>
          <w:szCs w:val="22"/>
        </w:rPr>
        <w:t xml:space="preserve"> "Het argument dat dit 'geen formeel onderdeel is van de datakwaliteitsbeoordeling' gaat voorbij aan wat DNB in de praktijk verwacht: een volledig beeld van bekende aandachtspunten, niet alleen wat strikt binnen de smalste definitie van datakwaliteit valt. Het weglaten hiervan zou, als DNB het zelf zou ontdekken, ons vertrouwen ernstiger schaden dan het nu, proactief, melden."</w:t>
      </w:r>
    </w:p>
    <w:p>
      <w:pPr>
        <w:spacing w:after="140" w:line="300"/>
      </w:pPr>
      <w:r>
        <w:rPr>
          <w:rFonts w:ascii="Calibri" w:cs="Calibri" w:eastAsia="Calibri" w:hAnsi="Calibri"/>
          <w:i/>
          <w:iCs/>
          <w:sz w:val="22"/>
          <w:szCs w:val="22"/>
        </w:rPr>
        <w:t xml:space="preserve">Aan DNB:</w:t>
      </w:r>
      <w:r>
        <w:rPr>
          <w:rFonts w:ascii="Calibri" w:cs="Calibri" w:eastAsia="Calibri" w:hAnsi="Calibri"/>
          <w:sz w:val="22"/>
          <w:szCs w:val="22"/>
        </w:rPr>
        <w:t xml:space="preserve"> "Onze interne auditfunctie heeft een niet-blokkerend aandachtspunt geconstateerd rond de volledige operationele gereedheid van de organisatie na invaren. Dit raakt niet de datakwaliteit van de over te dragen aanspraken zelf, maar de ondersteuning van de nieuwe werkwijze daarna. We nemen [concrete maatregelen] om dit vóór de uitvoering te adresseren."</w:t>
      </w:r>
    </w:p>
    <w:p>
      <w:pPr>
        <w:spacing w:after="140" w:line="300"/>
      </w:pPr>
      <w:r>
        <w:rPr>
          <w:rFonts w:ascii="Calibri" w:cs="Calibri" w:eastAsia="Calibri" w:hAnsi="Calibri"/>
          <w:b/>
          <w:bCs/>
          <w:sz w:val="22"/>
          <w:szCs w:val="22"/>
        </w:rPr>
        <w:t xml:space="preserve">Situatie 6 — Het go/no-go-advies zelf</w:t>
      </w:r>
    </w:p>
    <w:p>
      <w:pPr>
        <w:spacing w:after="140" w:line="300"/>
      </w:pPr>
      <w:r>
        <w:rPr>
          <w:rFonts w:ascii="Calibri" w:cs="Calibri" w:eastAsia="Calibri" w:hAnsi="Calibri"/>
          <w:i/>
          <w:iCs/>
          <w:sz w:val="22"/>
          <w:szCs w:val="22"/>
        </w:rPr>
        <w:t xml:space="preserve">Aan het bestuur:</w:t>
      </w:r>
      <w:r>
        <w:rPr>
          <w:rFonts w:ascii="Calibri" w:cs="Calibri" w:eastAsia="Calibri" w:hAnsi="Calibri"/>
          <w:sz w:val="22"/>
          <w:szCs w:val="22"/>
        </w:rPr>
        <w:t xml:space="preserve"> "Op basis van de afgeronde datakwaliteitscontrole, het accountantsrapport zonder blokkerende bevindingen, en de doorlopen robuustheidstoetsing onder gunstige en ongunstige scenario's, adviseer ik het bestuur het go-besluit te nemen voor de eerste groep deelnemers. De bekende aandachtspunten [zie situatie 5] zijn expliciet meegewogen en niet blokkerend bevonden."</w:t>
      </w:r>
    </w:p>
    <w:p>
      <w:pPr>
        <w:spacing w:after="140" w:line="300"/>
      </w:pPr>
      <w:r>
        <w:rPr>
          <w:rFonts w:ascii="Calibri" w:cs="Calibri" w:eastAsia="Calibri" w:hAnsi="Calibri"/>
          <w:i/>
          <w:iCs/>
          <w:sz w:val="22"/>
          <w:szCs w:val="22"/>
        </w:rPr>
        <w:t xml:space="preserve">Aan DNB (na het go-besluit):</w:t>
      </w:r>
      <w:r>
        <w:rPr>
          <w:rFonts w:ascii="Calibri" w:cs="Calibri" w:eastAsia="Calibri" w:hAnsi="Calibri"/>
          <w:sz w:val="22"/>
          <w:szCs w:val="22"/>
        </w:rPr>
        <w:t xml:space="preserve"> "Het bestuur heeft het go-besluit genomen voor de eerste groep deelnemers, op basis van de afgeronde datakwaliteitscontrole, het Agreed Upon Procedures-rapport van de externe accountant (geen blokkerende bevindingen), en een robuustheidstoetsing onder meerdere economische scenario's. De bekende, niet-blokkerende aandachtspunten zijn in het besluit meegewogen en worden separaat gevolgd."</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"Moet elke situatie echt naar twee gehoren tegelijk, ook als er maar één relevant lijkt?"</w:t>
      </w:r>
      <w:r>
        <w:rPr>
          <w:rFonts w:ascii="Calibri" w:cs="Calibri" w:eastAsia="Calibri" w:hAnsi="Calibri"/>
          <w:sz w:val="22"/>
          <w:szCs w:val="22"/>
        </w:rPr>
        <w:t xml:space="preserve"> Nee — situatie 4 is er expliciet om te laten zien dat je ook moet kunnen herkennen wanneer een toezichthouder niet aan de orde is; forceer geen tweede boodschap waar die niet hoort.</w:t>
      </w:r>
    </w:p>
    <w:p>
      <w:pPr>
        <w:pStyle w:val="ListParagraph"/>
        <w:numPr>
          <w:ilvl w:val="0"/>
          <w:numId w:val="1"/>
        </w:numPr>
        <w:spacing w:after="100" w:line="280"/>
      </w:pPr>
      <w:r>
        <w:rPr>
          <w:rFonts w:ascii="Calibri" w:cs="Calibri" w:eastAsia="Calibri" w:hAnsi="Calibri"/>
          <w:i/>
          <w:iCs/>
          <w:sz w:val="22"/>
          <w:szCs w:val="22"/>
        </w:rPr>
        <w:t xml:space="preserve">"Wat als het bestuur letterlijk vraagt om iets weg te laten, zoals in situatie 5?"</w:t>
      </w:r>
      <w:r>
        <w:rPr>
          <w:rFonts w:ascii="Calibri" w:cs="Calibri" w:eastAsia="Calibri" w:hAnsi="Calibri"/>
          <w:sz w:val="22"/>
          <w:szCs w:val="22"/>
        </w:rPr>
        <w:t xml:space="preserve"> Dat verandert de kernregel niet — zie deel 24 (§4) en deel 27 (§2): overtuigen, en zo nodig escaleren, blijven de aangewezen route, niet meegaan met het verzoek.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29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2026-08-17T08:30:55.145Z</dcterms:created>
  <dcterms:modified xsi:type="dcterms:W3CDTF">2026-08-17T08:30:55.145Z</dcterms:modified>
</cp:coreProperties>
</file>

<file path=docProps/custom.xml><?xml version="1.0" encoding="utf-8"?>
<Properties xmlns="http://schemas.openxmlformats.org/officeDocument/2006/custom-properties" xmlns:vt="http://schemas.openxmlformats.org/officeDocument/2006/docPropsVTypes"/>
</file>