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Deel 29 — Casuïstiek-marathon II: registerwisseling</w:t>
      </w:r>
    </w:p>
    <w:p>
      <w:pPr>
        <w:spacing w:after="300"/>
      </w:pPr>
      <w:r>
        <w:rPr>
          <w:rFonts w:ascii="Calibri" w:cs="Calibri" w:eastAsia="Calibri" w:hAnsi="Calibri"/>
          <w:i/>
          <w:iCs/>
          <w:color w:val="2563A8"/>
          <w:sz w:val="22"/>
          <w:szCs w:val="22"/>
        </w:rPr>
        <w:t xml:space="preserve">Niveau 3 Expert · Project- en Programmamanagement</w:t>
      </w:r>
    </w:p>
    <w:p>
      <w:pPr>
        <w:pStyle w:val="Heading2"/>
        <w:spacing w:after="120" w:before="200"/>
      </w:pPr>
      <w:r>
        <w:rPr>
          <w:rFonts w:ascii="Georgia" w:cs="Georgia" w:eastAsia="Georgia" w:hAnsi="Georgia"/>
          <w:b/>
          <w:bCs/>
          <w:color w:val="2563A8"/>
          <w:sz w:val="28"/>
          <w:szCs w:val="28"/>
        </w:rPr>
        <w:t xml:space="preserve">1. Eén laag zwaarder</w:t>
      </w:r>
    </w:p>
    <w:p>
      <w:pPr>
        <w:spacing w:after="140" w:line="300"/>
      </w:pPr>
      <w:r>
        <w:rPr>
          <w:rFonts w:ascii="Calibri" w:cs="Calibri" w:eastAsia="Calibri" w:hAnsi="Calibri"/>
          <w:sz w:val="22"/>
          <w:szCs w:val="22"/>
        </w:rPr>
        <w:t xml:space="preserve">Deel 28 oefende het snel herkennen en combineren van cursusconcepten. Dit deel voegt een verplichte extra laag toe: bij elke situatie schrijf je niet één antwoord, maar </w:t>
      </w:r>
      <w:r>
        <w:rPr>
          <w:rFonts w:ascii="Calibri" w:cs="Calibri" w:eastAsia="Calibri" w:hAnsi="Calibri"/>
          <w:b/>
          <w:bCs/>
          <w:sz w:val="22"/>
          <w:szCs w:val="22"/>
        </w:rPr>
        <w:t xml:space="preserve">twee</w:t>
      </w:r>
      <w:r>
        <w:rPr>
          <w:rFonts w:ascii="Calibri" w:cs="Calibri" w:eastAsia="Calibri" w:hAnsi="Calibri"/>
          <w:sz w:val="22"/>
          <w:szCs w:val="22"/>
        </w:rPr>
        <w:t xml:space="preserve"> — een boodschap aan het </w:t>
      </w:r>
      <w:r>
        <w:rPr>
          <w:rFonts w:ascii="Calibri" w:cs="Calibri" w:eastAsia="Calibri" w:hAnsi="Calibri"/>
          <w:b/>
          <w:bCs/>
          <w:sz w:val="22"/>
          <w:szCs w:val="22"/>
        </w:rPr>
        <w:t xml:space="preserve">bestuur</w:t>
      </w:r>
      <w:r>
        <w:rPr>
          <w:rFonts w:ascii="Calibri" w:cs="Calibri" w:eastAsia="Calibri" w:hAnsi="Calibri"/>
          <w:sz w:val="22"/>
          <w:szCs w:val="22"/>
        </w:rPr>
        <w:t xml:space="preserve"> en een boodschap aan de </w:t>
      </w:r>
      <w:r>
        <w:rPr>
          <w:rFonts w:ascii="Calibri" w:cs="Calibri" w:eastAsia="Calibri" w:hAnsi="Calibri"/>
          <w:b/>
          <w:bCs/>
          <w:sz w:val="22"/>
          <w:szCs w:val="22"/>
        </w:rPr>
        <w:t xml:space="preserve">toezichthouder</w:t>
      </w:r>
      <w:r>
        <w:rPr>
          <w:rFonts w:ascii="Calibri" w:cs="Calibri" w:eastAsia="Calibri" w:hAnsi="Calibri"/>
          <w:sz w:val="22"/>
          <w:szCs w:val="22"/>
        </w:rPr>
        <w:t xml:space="preserve"> (DNB of AFM, deel 24). Dit is precies de vaardigheid die deel 24 als kernregel meegaf: </w:t>
      </w:r>
      <w:r>
        <w:rPr>
          <w:rFonts w:ascii="Calibri" w:cs="Calibri" w:eastAsia="Calibri" w:hAnsi="Calibri"/>
          <w:b/>
          <w:bCs/>
          <w:sz w:val="22"/>
          <w:szCs w:val="22"/>
        </w:rPr>
        <w:t xml:space="preserve">het register bepaalt de nadruk, nooit de feiten.</w:t>
      </w:r>
    </w:p>
    <w:p>
      <w:pPr>
        <w:pStyle w:val="Heading2"/>
        <w:spacing w:after="120" w:before="200"/>
      </w:pPr>
      <w:r>
        <w:rPr>
          <w:rFonts w:ascii="Georgia" w:cs="Georgia" w:eastAsia="Georgia" w:hAnsi="Georgia"/>
          <w:b/>
          <w:bCs/>
          <w:color w:val="2563A8"/>
          <w:sz w:val="28"/>
          <w:szCs w:val="28"/>
        </w:rPr>
        <w:t xml:space="preserve">2. De vorm</w:t>
      </w:r>
    </w:p>
    <w:p>
      <w:pPr>
        <w:spacing w:after="140" w:line="300"/>
      </w:pPr>
      <w:r>
        <w:rPr>
          <w:rFonts w:ascii="Calibri" w:cs="Calibri" w:eastAsia="Calibri" w:hAnsi="Calibri"/>
          <w:sz w:val="22"/>
          <w:szCs w:val="22"/>
        </w:rPr>
        <w:t xml:space="preserve">Voor elke situatie: </w:t>
      </w:r>
      <w:r>
        <w:rPr>
          <w:rFonts w:ascii="Calibri" w:cs="Calibri" w:eastAsia="Calibri" w:hAnsi="Calibri"/>
          <w:b/>
          <w:bCs/>
          <w:sz w:val="22"/>
          <w:szCs w:val="22"/>
        </w:rPr>
        <w:t xml:space="preserve">vijftien minuten</w:t>
      </w:r>
      <w:r>
        <w:rPr>
          <w:rFonts w:ascii="Calibri" w:cs="Calibri" w:eastAsia="Calibri" w:hAnsi="Calibri"/>
          <w:sz w:val="22"/>
          <w:szCs w:val="22"/>
        </w:rPr>
        <w:t xml:space="preserve">, drie meer dan in deel 28 — de extra tijd is nodig omdat je nu twee, onderling consistente boodschappen moet formuleren in plaats van één. Schrijf voor elke boodschap circa 100 woorden: kort genoeg om te dwingen tot scherpte, lang genoeg om de kern goed over te brengen.</w:t>
      </w:r>
    </w:p>
    <w:p>
      <w:pPr>
        <w:spacing w:after="140" w:line="300"/>
      </w:pPr>
      <w:r>
        <w:rPr>
          <w:rFonts w:ascii="Calibri" w:cs="Calibri" w:eastAsia="Calibri" w:hAnsi="Calibri"/>
          <w:sz w:val="22"/>
          <w:szCs w:val="22"/>
        </w:rPr>
        <w:t xml:space="preserve">Na het schrijven van beide versies, controleer expliciet: </w:t>
      </w:r>
      <w:r>
        <w:rPr>
          <w:rFonts w:ascii="Calibri" w:cs="Calibri" w:eastAsia="Calibri" w:hAnsi="Calibri"/>
          <w:b/>
          <w:bCs/>
          <w:sz w:val="22"/>
          <w:szCs w:val="22"/>
        </w:rPr>
        <w:t xml:space="preserve">staan in beide versies dezelfde onderliggende feiten?</w:t>
      </w:r>
      <w:r>
        <w:rPr>
          <w:rFonts w:ascii="Calibri" w:cs="Calibri" w:eastAsia="Calibri" w:hAnsi="Calibri"/>
          <w:sz w:val="22"/>
          <w:szCs w:val="22"/>
        </w:rPr>
        <w:t xml:space="preserve"> Als je in de ene versie iets vermeldt dat in de andere ontbreekt zonder dat daar een goede reden voor is (bijvoorbeeld: informatie die alleen relevant is voor één van de twee gehoren), heb je waarschijnlijk de grens tussen registerwisseling en misleiding overschreden (deel 24, §4; deel 27, §3).</w:t>
      </w:r>
    </w:p>
    <w:p>
      <w:pPr>
        <w:pStyle w:val="Heading2"/>
        <w:spacing w:after="120" w:before="200"/>
      </w:pPr>
      <w:r>
        <w:rPr>
          <w:rFonts w:ascii="Georgia" w:cs="Georgia" w:eastAsia="Georgia" w:hAnsi="Georgia"/>
          <w:b/>
          <w:bCs/>
          <w:color w:val="2563A8"/>
          <w:sz w:val="28"/>
          <w:szCs w:val="28"/>
        </w:rPr>
        <w:t xml:space="preserve">3. Waarom dit zwaarder is dan het klinkt</w:t>
      </w:r>
    </w:p>
    <w:p>
      <w:pPr>
        <w:spacing w:after="140" w:line="300"/>
      </w:pPr>
      <w:r>
        <w:rPr>
          <w:rFonts w:ascii="Calibri" w:cs="Calibri" w:eastAsia="Calibri" w:hAnsi="Calibri"/>
          <w:sz w:val="22"/>
          <w:szCs w:val="22"/>
        </w:rPr>
        <w:t xml:space="preserve">Twee losse boodschappen schrijven is makkelijk; twee boodschappen schrijven die </w:t>
      </w:r>
      <w:r>
        <w:rPr>
          <w:rFonts w:ascii="Calibri" w:cs="Calibri" w:eastAsia="Calibri" w:hAnsi="Calibri"/>
          <w:b/>
          <w:bCs/>
          <w:sz w:val="22"/>
          <w:szCs w:val="22"/>
        </w:rPr>
        <w:t xml:space="preserve">consistent</w:t>
      </w:r>
      <w:r>
        <w:rPr>
          <w:rFonts w:ascii="Calibri" w:cs="Calibri" w:eastAsia="Calibri" w:hAnsi="Calibri"/>
          <w:sz w:val="22"/>
          <w:szCs w:val="22"/>
        </w:rPr>
        <w:t xml:space="preserve"> zijn terwijl ze toch echt anders klinken, is de eigenlijke oefening. Een veelgemaakte fout is dat de bestuursversie en de toezichthouderversie zo dicht bij elkaar liggen dat geen van beide goed aansluit bij het eigen gehoor — of, omgekeerd, dat ze zo ver uit elkaar liggen dat de feiten stiekem zijn gaan verschuiven. Goede registerwisseling zit precies tussen deze twee valkuilen in.</w:t>
      </w:r>
    </w:p>
    <w:p>
      <w:pPr>
        <w:pStyle w:val="Heading2"/>
        <w:spacing w:after="120" w:before="200"/>
      </w:pPr>
      <w:r>
        <w:rPr>
          <w:rFonts w:ascii="Georgia" w:cs="Georgia" w:eastAsia="Georgia" w:hAnsi="Georgia"/>
          <w:b/>
          <w:bCs/>
          <w:color w:val="2563A8"/>
          <w:sz w:val="28"/>
          <w:szCs w:val="28"/>
        </w:rPr>
        <w:t xml:space="preserve">4. Werkwijze</w:t>
      </w:r>
    </w:p>
    <w:p>
      <w:pPr>
        <w:spacing w:after="140" w:line="300"/>
      </w:pPr>
      <w:r>
        <w:rPr>
          <w:rFonts w:ascii="Calibri" w:cs="Calibri" w:eastAsia="Calibri" w:hAnsi="Calibri"/>
          <w:sz w:val="22"/>
          <w:szCs w:val="22"/>
        </w:rPr>
        <w:t xml:space="preserve">Werk de zes situaties individueel of in tweetallen uit. Wissel na elke situatie uit met een ander tweetal: laat hen beide versies naast elkaar leggen en beoordelen of de feiten daadwerkelijk identiek zijn — een buitenstaander ziet inconsistenties vaak sneller dan de schrijver zelf.</w:t>
      </w:r>
    </w:p>
    <w:p>
      <w:pPr>
        <w:pStyle w:val="Heading2"/>
        <w:spacing w:after="120" w:before="200"/>
      </w:pPr>
      <w:r>
        <w:rPr>
          <w:rFonts w:ascii="Georgia" w:cs="Georgia" w:eastAsia="Georgia" w:hAnsi="Georgia"/>
          <w:b/>
          <w:bCs/>
          <w:color w:val="2563A8"/>
          <w:sz w:val="28"/>
          <w:szCs w:val="28"/>
        </w:rPr>
        <w:t xml:space="preserve">5. Vooruitblik</w:t>
      </w:r>
    </w:p>
    <w:p>
      <w:pPr>
        <w:spacing w:after="140" w:line="300"/>
      </w:pPr>
      <w:r>
        <w:rPr>
          <w:rFonts w:ascii="Calibri" w:cs="Calibri" w:eastAsia="Calibri" w:hAnsi="Calibri"/>
          <w:sz w:val="22"/>
          <w:szCs w:val="22"/>
        </w:rPr>
        <w:t xml:space="preserve">Na deze twee marathons is niveau 3 inhoudelijk compleet. Deel 30 sluit de hele cursus af met de masterproef: een boardsimulatie met vier rollen — bestuur, DNB, AFM en de SRO — waarin de registerwisseling-vaardigheid uit dit deel er in de praktijk, live en onder druk, op aankomt.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Project- en Programmamanagement · Niveau 3 Expert · Deel 29 · Reader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2026-08-17T08:30:55.062Z</dcterms:created>
  <dcterms:modified xsi:type="dcterms:W3CDTF">2026-08-17T08:30:55.063Z</dcterms:modified>
</cp:coreProperties>
</file>

<file path=docProps/custom.xml><?xml version="1.0" encoding="utf-8"?>
<Properties xmlns="http://schemas.openxmlformats.org/officeDocument/2006/custom-properties" xmlns:vt="http://schemas.openxmlformats.org/officeDocument/2006/docPropsVTypes"/>
</file>