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29 — Casuïstiek-marathon II: registerwisseling</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i/>
          <w:iCs/>
          <w:sz w:val="22"/>
          <w:szCs w:val="22"/>
        </w:rPr>
        <w:t xml:space="preserve">Voor elke situatie: 15 minuten. Schrijf twee versies van circa 100 woorden — één aan het bestuur, één aan de toezichthouder (DNB of AFM, afhankelijk van het onderwerp) — met identieke feiten en verschillende nadruk.</w:t>
      </w:r>
    </w:p>
    <w:p>
      <w:pPr>
        <w:pStyle w:val="Heading2"/>
        <w:spacing w:after="120" w:before="200"/>
      </w:pPr>
      <w:r>
        <w:rPr>
          <w:rFonts w:ascii="Georgia" w:cs="Georgia" w:eastAsia="Georgia" w:hAnsi="Georgia"/>
          <w:b/>
          <w:bCs/>
          <w:color w:val="2563A8"/>
          <w:sz w:val="28"/>
          <w:szCs w:val="28"/>
        </w:rPr>
        <w:t xml:space="preserve">Situatie 1 — Vertraging in tranche 3</w:t>
      </w:r>
    </w:p>
    <w:p>
      <w:pPr>
        <w:spacing w:after="140" w:line="300"/>
      </w:pPr>
      <w:r>
        <w:rPr>
          <w:rFonts w:ascii="Calibri" w:cs="Calibri" w:eastAsia="Calibri" w:hAnsi="Calibri"/>
          <w:sz w:val="22"/>
          <w:szCs w:val="22"/>
        </w:rPr>
        <w:t xml:space="preserve">Tranche 3 van de Stelselovergang loopt twee maanden achter op schema, veroorzaakt door een onderschatte hoeveelheid handmatige correctiewerkzaamheden bij een specifieke groep diensttijdgegevens. De einddatum van de wettelijke deadline komt daarmee dichterbij dan comfortabel is, maar wordt naar huidig inzicht nog wel gehaald.</w:t>
      </w:r>
    </w:p>
    <w:p>
      <w:pPr>
        <w:spacing w:after="140" w:line="300"/>
      </w:pPr>
      <w:r>
        <w:rPr>
          <w:rFonts w:ascii="Calibri" w:cs="Calibri" w:eastAsia="Calibri" w:hAnsi="Calibri"/>
          <w:i/>
          <w:iCs/>
          <w:sz w:val="22"/>
          <w:szCs w:val="22"/>
        </w:rPr>
        <w:t xml:space="preserve">Schrijf een boodschap aan het bestuur, en een boodschap aan DNB (in het kader van het implementatieplan).</w:t>
      </w:r>
    </w:p>
    <w:p>
      <w:pPr>
        <w:pStyle w:val="Heading2"/>
        <w:spacing w:after="120" w:before="200"/>
      </w:pPr>
      <w:r>
        <w:rPr>
          <w:rFonts w:ascii="Georgia" w:cs="Georgia" w:eastAsia="Georgia" w:hAnsi="Georgia"/>
          <w:b/>
          <w:bCs/>
          <w:color w:val="2563A8"/>
          <w:sz w:val="28"/>
          <w:szCs w:val="28"/>
        </w:rPr>
        <w:t xml:space="preserve">Situatie 2 — Een onverwachte dis-benefit</w:t>
      </w:r>
    </w:p>
    <w:p>
      <w:pPr>
        <w:spacing w:after="140" w:line="300"/>
      </w:pPr>
      <w:r>
        <w:rPr>
          <w:rFonts w:ascii="Calibri" w:cs="Calibri" w:eastAsia="Calibri" w:hAnsi="Calibri"/>
          <w:sz w:val="22"/>
          <w:szCs w:val="22"/>
        </w:rPr>
        <w:t xml:space="preserve">Na de livegang van het herziene deelnemersportaal blijkt het aantal telefonische vragen bij de klantenservice tijdelijk met 30% te zijn gestegen — hoger dan de eerder voorziene, tijdelijke toename (vergelijkbaar met de dis-benefit uit deel 12, §8). De oorzaak is inmiddels bekend en wordt verholpen.</w:t>
      </w:r>
    </w:p>
    <w:p>
      <w:pPr>
        <w:spacing w:after="140" w:line="300"/>
      </w:pPr>
      <w:r>
        <w:rPr>
          <w:rFonts w:ascii="Calibri" w:cs="Calibri" w:eastAsia="Calibri" w:hAnsi="Calibri"/>
          <w:i/>
          <w:iCs/>
          <w:sz w:val="22"/>
          <w:szCs w:val="22"/>
        </w:rPr>
        <w:t xml:space="preserve">Schrijf een boodschap aan het bestuur, en een boodschap aan de AFM (in het kader van het communicatieplan en de kwaliteit van dienstverlening aan deelnemers).</w:t>
      </w:r>
    </w:p>
    <w:p>
      <w:pPr>
        <w:pStyle w:val="Heading2"/>
        <w:spacing w:after="120" w:before="200"/>
      </w:pPr>
      <w:r>
        <w:rPr>
          <w:rFonts w:ascii="Georgia" w:cs="Georgia" w:eastAsia="Georgia" w:hAnsi="Georgia"/>
          <w:b/>
          <w:bCs/>
          <w:color w:val="2563A8"/>
          <w:sz w:val="28"/>
          <w:szCs w:val="28"/>
        </w:rPr>
        <w:t xml:space="preserve">Situatie 3 — Een net op tijd gevonden fout</w:t>
      </w:r>
    </w:p>
    <w:p>
      <w:pPr>
        <w:spacing w:after="140" w:line="300"/>
      </w:pPr>
      <w:r>
        <w:rPr>
          <w:rFonts w:ascii="Calibri" w:cs="Calibri" w:eastAsia="Calibri" w:hAnsi="Calibri"/>
          <w:sz w:val="22"/>
          <w:szCs w:val="22"/>
        </w:rPr>
        <w:t xml:space="preserve">Een interne controle, kort vóór het go/no-go-moment, ontdekt een rekenfout in de omzettingsmethode voor een kleine deelgroep. De fout is verholpen vóórdat enige uitvoering heeft plaatsgevonden; er is geen enkele deelnemer geraakt.</w:t>
      </w:r>
    </w:p>
    <w:p>
      <w:pPr>
        <w:spacing w:after="140" w:line="300"/>
      </w:pPr>
      <w:r>
        <w:rPr>
          <w:rFonts w:ascii="Calibri" w:cs="Calibri" w:eastAsia="Calibri" w:hAnsi="Calibri"/>
          <w:i/>
          <w:iCs/>
          <w:sz w:val="22"/>
          <w:szCs w:val="22"/>
        </w:rPr>
        <w:t xml:space="preserve">Schrijf een boodschap aan het bestuur, en een boodschap aan DNB.</w:t>
      </w:r>
    </w:p>
    <w:p>
      <w:pPr>
        <w:pStyle w:val="Heading2"/>
        <w:spacing w:after="120" w:before="200"/>
      </w:pPr>
      <w:r>
        <w:rPr>
          <w:rFonts w:ascii="Georgia" w:cs="Georgia" w:eastAsia="Georgia" w:hAnsi="Georgia"/>
          <w:b/>
          <w:bCs/>
          <w:color w:val="2563A8"/>
          <w:sz w:val="28"/>
          <w:szCs w:val="28"/>
        </w:rPr>
        <w:t xml:space="preserve">Situatie 4 — Resourceconflict tussen twee kritieke deelprojecten</w:t>
      </w:r>
    </w:p>
    <w:p>
      <w:pPr>
        <w:spacing w:after="140" w:line="300"/>
      </w:pPr>
      <w:r>
        <w:rPr>
          <w:rFonts w:ascii="Calibri" w:cs="Calibri" w:eastAsia="Calibri" w:hAnsi="Calibri"/>
          <w:sz w:val="22"/>
          <w:szCs w:val="22"/>
        </w:rPr>
        <w:t xml:space="preserve">Twee deelprojecten binnen de Stelselovergang — de datamigratie en de communicatie-uitvoering — blijken in dezelfde weken dezelfde, schaarse juridische expertise nodig te hebben. Dit dreigt beide projecten enkele weken te vertragen als er niet wordt geprioriteerd.</w:t>
      </w:r>
    </w:p>
    <w:p>
      <w:pPr>
        <w:spacing w:after="140" w:line="300"/>
      </w:pPr>
      <w:r>
        <w:rPr>
          <w:rFonts w:ascii="Calibri" w:cs="Calibri" w:eastAsia="Calibri" w:hAnsi="Calibri"/>
          <w:i/>
          <w:iCs/>
          <w:sz w:val="22"/>
          <w:szCs w:val="22"/>
        </w:rPr>
        <w:t xml:space="preserve">Schrijf een boodschap aan het bestuur (dat moet prioriteren), en een interne notitie aan de eigen programmaorganisatie (geen externe toezichthouder hier relevant — leg uit waarom dit onderscheid hier terecht is).</w:t>
      </w:r>
    </w:p>
    <w:p>
      <w:pPr>
        <w:pStyle w:val="Heading2"/>
        <w:spacing w:after="120" w:before="200"/>
      </w:pPr>
      <w:r>
        <w:rPr>
          <w:rFonts w:ascii="Georgia" w:cs="Georgia" w:eastAsia="Georgia" w:hAnsi="Georgia"/>
          <w:b/>
          <w:bCs/>
          <w:color w:val="2563A8"/>
          <w:sz w:val="28"/>
          <w:szCs w:val="28"/>
        </w:rPr>
        <w:t xml:space="preserve">Situatie 5 — Interne twijfel over readiness</w:t>
      </w:r>
    </w:p>
    <w:p>
      <w:pPr>
        <w:spacing w:after="140" w:line="300"/>
      </w:pPr>
      <w:r>
        <w:rPr>
          <w:rFonts w:ascii="Calibri" w:cs="Calibri" w:eastAsia="Calibri" w:hAnsi="Calibri"/>
          <w:sz w:val="22"/>
          <w:szCs w:val="22"/>
        </w:rPr>
        <w:t xml:space="preserve">Een deel van het interne auditteam (derde lijn, deel 18 §4) heeft, na eigen onderzoek, gematigde twijfels over de volledige gereedheid van de organisatie om de nieuwe werkwijze na invaren te ondersteunen — niet blokkerend, maar wel een aandachtspunt. Het bestuur wil dit niet delen met DNB, "omdat het geen formeel onderdeel is van de datakwaliteitsbeoordeling."</w:t>
      </w:r>
    </w:p>
    <w:p>
      <w:pPr>
        <w:spacing w:after="140" w:line="300"/>
      </w:pPr>
      <w:r>
        <w:rPr>
          <w:rFonts w:ascii="Calibri" w:cs="Calibri" w:eastAsia="Calibri" w:hAnsi="Calibri"/>
          <w:i/>
          <w:iCs/>
          <w:sz w:val="22"/>
          <w:szCs w:val="22"/>
        </w:rPr>
        <w:t xml:space="preserve">Schrijf een boodschap aan het bestuur waarin je deze redenering weerlegt, en een boodschap aan DNB waarin je dit aandachtspunt correct opneemt.</w:t>
      </w:r>
    </w:p>
    <w:p>
      <w:pPr>
        <w:pStyle w:val="Heading2"/>
        <w:spacing w:after="120" w:before="200"/>
      </w:pPr>
      <w:r>
        <w:rPr>
          <w:rFonts w:ascii="Georgia" w:cs="Georgia" w:eastAsia="Georgia" w:hAnsi="Georgia"/>
          <w:b/>
          <w:bCs/>
          <w:color w:val="2563A8"/>
          <w:sz w:val="28"/>
          <w:szCs w:val="28"/>
        </w:rPr>
        <w:t xml:space="preserve">Situatie 6 — Het go/no-go-advies zelf</w:t>
      </w:r>
    </w:p>
    <w:p>
      <w:pPr>
        <w:spacing w:after="140" w:line="300"/>
      </w:pPr>
      <w:r>
        <w:rPr>
          <w:rFonts w:ascii="Calibri" w:cs="Calibri" w:eastAsia="Calibri" w:hAnsi="Calibri"/>
          <w:sz w:val="22"/>
          <w:szCs w:val="22"/>
        </w:rPr>
        <w:t xml:space="preserve">Alle voorbereidingen zijn afgerond: datakwaliteit gecontroleerd, accountantsrapport ontvangen (geen blokkerende bevindingen), robuustheidstoetsing doorlopen. Jij, als programmadirecteur, formuleert het formele advies aan het bestuur om het go-besluit te nemen.</w:t>
      </w:r>
    </w:p>
    <w:p>
      <w:pPr>
        <w:spacing w:after="140" w:line="300"/>
      </w:pPr>
      <w:r>
        <w:rPr>
          <w:rFonts w:ascii="Calibri" w:cs="Calibri" w:eastAsia="Calibri" w:hAnsi="Calibri"/>
          <w:i/>
          <w:iCs/>
          <w:sz w:val="22"/>
          <w:szCs w:val="22"/>
        </w:rPr>
        <w:t xml:space="preserve">Schrijf het formele adviesbericht aan het bestuur, en de begeleidende toelichting die naar DNB gaat zodra het bestuur het go-besluit heeft genomen.</w:t>
      </w:r>
    </w:p>
    <w:p>
      <w:pPr>
        <w:pStyle w:val="Heading2"/>
        <w:spacing w:after="120" w:before="200"/>
      </w:pPr>
      <w:r>
        <w:rPr>
          <w:rFonts w:ascii="Georgia" w:cs="Georgia" w:eastAsia="Georgia" w:hAnsi="Georgia"/>
          <w:b/>
          <w:bCs/>
          <w:color w:val="2563A8"/>
          <w:sz w:val="28"/>
          <w:szCs w:val="28"/>
        </w:rPr>
        <w:t xml:space="preserve">Na de marathon</w:t>
      </w:r>
    </w:p>
    <w:p>
      <w:pPr>
        <w:spacing w:after="140" w:line="300"/>
      </w:pPr>
      <w:r>
        <w:rPr>
          <w:rFonts w:ascii="Calibri" w:cs="Calibri" w:eastAsia="Calibri" w:hAnsi="Calibri"/>
          <w:sz w:val="22"/>
          <w:szCs w:val="22"/>
        </w:rPr>
        <w:t xml:space="preserve">Leg voor minstens twee situaties beide versies naast een ander tweetal. Bespreek: waar zou een kritische lezer (zoals een IPMA-B-assessor, deel 23) het snelst een inconsistentie ontdekken, als die er zou zijn?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2026-08-17T08:30:55.120Z</dcterms:created>
  <dcterms:modified xsi:type="dcterms:W3CDTF">2026-08-17T08:30:55.120Z</dcterms:modified>
</cp:coreProperties>
</file>

<file path=docProps/custom.xml><?xml version="1.0" encoding="utf-8"?>
<Properties xmlns="http://schemas.openxmlformats.org/officeDocument/2006/custom-properties" xmlns:vt="http://schemas.openxmlformats.org/officeDocument/2006/docPropsVTypes"/>
</file>