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30 — Masterproef: de boardsimulatie (twee dagdelen)</w:t>
      </w:r>
    </w:p>
    <w:p>
      <w:pPr>
        <w:spacing w:after="300"/>
      </w:pPr>
      <w:r>
        <w:rPr>
          <w:rFonts w:ascii="Calibri" w:cs="Calibri" w:eastAsia="Calibri" w:hAnsi="Calibri"/>
          <w:i/>
          <w:iCs/>
          <w:color w:val="2563A8"/>
          <w:sz w:val="22"/>
          <w:szCs w:val="22"/>
        </w:rPr>
        <w:t xml:space="preserve">Niveau 3 Expert · Project- en Programmamanagement</w:t>
      </w:r>
    </w:p>
    <w:p>
      <w:pPr>
        <w:pStyle w:val="Heading2"/>
        <w:spacing w:after="120" w:before="200"/>
      </w:pPr>
      <w:r>
        <w:rPr>
          <w:rFonts w:ascii="Georgia" w:cs="Georgia" w:eastAsia="Georgia" w:hAnsi="Georgia"/>
          <w:b/>
          <w:bCs/>
          <w:color w:val="2563A8"/>
          <w:sz w:val="28"/>
          <w:szCs w:val="28"/>
        </w:rPr>
        <w:t xml:space="preserve">1. Het sluitstuk van de hele cursus</w:t>
      </w:r>
    </w:p>
    <w:p>
      <w:pPr>
        <w:spacing w:after="140" w:line="300"/>
      </w:pPr>
      <w:r>
        <w:rPr>
          <w:rFonts w:ascii="Calibri" w:cs="Calibri" w:eastAsia="Calibri" w:hAnsi="Calibri"/>
          <w:sz w:val="22"/>
          <w:szCs w:val="22"/>
        </w:rPr>
        <w:t xml:space="preserve">Dit is het laatste deel van niveau 3, en daarmee van de hele cursus. Alles wat sinds deel 1 is opgebouwd — de zeven bevindingen uit de WGP 2.0-postmortem, de PRINCE2-principes en -practices, MSP's themes en tranches, IPMA's oplopende competentieniveaus, en de niveau 3-vaardigheden rond toezicht, onomkeerbaarheid, verdedigbaar stoppen en ethiek onder druk — komt hier samen in één simulatie.</w:t>
      </w:r>
    </w:p>
    <w:p>
      <w:pPr>
        <w:spacing w:after="140" w:line="300"/>
      </w:pPr>
      <w:r>
        <w:rPr>
          <w:rFonts w:ascii="Calibri" w:cs="Calibri" w:eastAsia="Calibri" w:hAnsi="Calibri"/>
          <w:sz w:val="22"/>
          <w:szCs w:val="22"/>
        </w:rPr>
        <w:t xml:space="preserve">Waar de capstones in niveau 1 (deel 10) en niveau 2 (deel 22) een </w:t>
      </w:r>
      <w:r>
        <w:rPr>
          <w:rFonts w:ascii="Calibri" w:cs="Calibri" w:eastAsia="Calibri" w:hAnsi="Calibri"/>
          <w:b/>
          <w:bCs/>
          <w:sz w:val="22"/>
          <w:szCs w:val="22"/>
        </w:rPr>
        <w:t xml:space="preserve">verdediging</w:t>
      </w:r>
      <w:r>
        <w:rPr>
          <w:rFonts w:ascii="Calibri" w:cs="Calibri" w:eastAsia="Calibri" w:hAnsi="Calibri"/>
          <w:sz w:val="22"/>
          <w:szCs w:val="22"/>
        </w:rPr>
        <w:t xml:space="preserve"> waren — één groep die een document presenteert aan een bevragende stuurgroep of sponsoring group — is de masterproef in dit deel iets anders: een </w:t>
      </w:r>
      <w:r>
        <w:rPr>
          <w:rFonts w:ascii="Calibri" w:cs="Calibri" w:eastAsia="Calibri" w:hAnsi="Calibri"/>
          <w:b/>
          <w:bCs/>
          <w:sz w:val="22"/>
          <w:szCs w:val="22"/>
        </w:rPr>
        <w:t xml:space="preserve">boardsimulatie</w:t>
      </w:r>
      <w:r>
        <w:rPr>
          <w:rFonts w:ascii="Calibri" w:cs="Calibri" w:eastAsia="Calibri" w:hAnsi="Calibri"/>
          <w:sz w:val="22"/>
          <w:szCs w:val="22"/>
        </w:rPr>
        <w:t xml:space="preserve"> waarin vier deelnemers gelijktijdig, elk vanuit hun eigen rol, een acute crisis moeten doorleven. Niemand "verdedigt" hier alleen; alle vier de rollen dragen samen de verantwoordelijkheid voor wat er in de zaal gebeurt.</w:t>
      </w:r>
    </w:p>
    <w:p>
      <w:pPr>
        <w:spacing w:after="140" w:line="300"/>
      </w:pPr>
      <w:r>
        <w:rPr>
          <w:rFonts w:ascii="Calibri" w:cs="Calibri" w:eastAsia="Calibri" w:hAnsi="Calibri"/>
          <w:b/>
          <w:bCs/>
          <w:sz w:val="22"/>
          <w:szCs w:val="22"/>
        </w:rPr>
        <w:t xml:space="preserve">Dagdeel A</w:t>
      </w:r>
      <w:r>
        <w:rPr>
          <w:rFonts w:ascii="Calibri" w:cs="Calibri" w:eastAsia="Calibri" w:hAnsi="Calibri"/>
          <w:sz w:val="22"/>
          <w:szCs w:val="22"/>
        </w:rPr>
        <w:t xml:space="preserve"> bereidt de masterproef inhoudelijk voor: de casus wordt geïntroduceerd, de vier rollen worden toegewezen en ingestudeerd, en elke deelnemer bouwt zijn eigen inbreng op. </w:t>
      </w:r>
      <w:r>
        <w:rPr>
          <w:rFonts w:ascii="Calibri" w:cs="Calibri" w:eastAsia="Calibri" w:hAnsi="Calibri"/>
          <w:b/>
          <w:bCs/>
          <w:sz w:val="22"/>
          <w:szCs w:val="22"/>
        </w:rPr>
        <w:t xml:space="preserve">Dagdeel B</w:t>
      </w:r>
      <w:r>
        <w:rPr>
          <w:rFonts w:ascii="Calibri" w:cs="Calibri" w:eastAsia="Calibri" w:hAnsi="Calibri"/>
          <w:sz w:val="22"/>
          <w:szCs w:val="22"/>
        </w:rPr>
        <w:t xml:space="preserve"> is de simulatie zelf, gevolgd door de slotreflectie die de hele cursus afsluit.</w:t>
      </w:r>
    </w:p>
    <w:p>
      <w:pPr>
        <w:pStyle w:val="Heading2"/>
        <w:spacing w:after="120" w:before="200"/>
      </w:pPr>
      <w:r>
        <w:rPr>
          <w:rFonts w:ascii="Georgia" w:cs="Georgia" w:eastAsia="Georgia" w:hAnsi="Georgia"/>
          <w:b/>
          <w:bCs/>
          <w:color w:val="2563A8"/>
          <w:sz w:val="28"/>
          <w:szCs w:val="28"/>
        </w:rPr>
        <w:t xml:space="preserve">2. De masterproefcasus</w:t>
      </w:r>
    </w:p>
    <w:p>
      <w:pPr>
        <w:spacing w:after="140" w:line="300"/>
      </w:pPr>
      <w:r>
        <w:rPr>
          <w:rFonts w:ascii="Calibri" w:cs="Calibri" w:eastAsia="Calibri" w:hAnsi="Calibri"/>
          <w:sz w:val="22"/>
          <w:szCs w:val="22"/>
        </w:rPr>
        <w:t xml:space="preserve">Vier weken vóór de go/no-go-datum voor de eerste groep deelnemers — ruim vóór de wettelijke einddatum van de Wtp-transitie op </w:t>
      </w:r>
      <w:r>
        <w:rPr>
          <w:rFonts w:ascii="Calibri" w:cs="Calibri" w:eastAsia="Calibri" w:hAnsi="Calibri"/>
          <w:b/>
          <w:bCs/>
          <w:sz w:val="22"/>
          <w:szCs w:val="22"/>
        </w:rPr>
        <w:t xml:space="preserve">1 januari 2028</w:t>
      </w:r>
      <w:r>
        <w:rPr>
          <w:rFonts w:ascii="Calibri" w:cs="Calibri" w:eastAsia="Calibri" w:hAnsi="Calibri"/>
          <w:sz w:val="22"/>
          <w:szCs w:val="22"/>
        </w:rPr>
        <w:t xml:space="preserve"> — meldt de interne auditfunctie van Meridiaan een datakwaliteitsprobleem. Bij een steekproefcontrole op de historische partnergegevens, relevant voor de berekening van het nabestaandenpensioen, blijkt een deelverzameling — afkomstig uit de overname van een ander pensioenfonds negen jaar geleden — bij de destijds uitgevoerde systeemmigratie systematisch onvolledig te zijn verwerkt. Naar eerste schatting raakt dit ongeveer 5% van de eerste go/no-go-groep.</w:t>
      </w:r>
    </w:p>
    <w:p>
      <w:pPr>
        <w:spacing w:after="140" w:line="300"/>
      </w:pPr>
      <w:r>
        <w:rPr>
          <w:rFonts w:ascii="Calibri" w:cs="Calibri" w:eastAsia="Calibri" w:hAnsi="Calibri"/>
          <w:sz w:val="22"/>
          <w:szCs w:val="22"/>
        </w:rPr>
        <w:t xml:space="preserve">Het probleem is, net als in het scenario van deel 26 (§6) en de casuïstiek uit deel 28-29, niet catastrofaal en niet triviaal: het raakt een afgebakende, maar niet verwaarloosbare deelgroep, bij een besluit dat, eenmaal uitgevoerd, vrijwel niet is terug te draaien (deel 25, §7). Wat de masterproef vraagt, is niet "los dit op" — dat kan niemand in een dagdeel — maar een verdedigbare aanpak: wat gebeurt er met de go/no-go-datum, wat gebeurt er met de geraakte deelgroep, en hoe wordt hierover gecommuniceerd naar bestuur, toezichthouders en deelnemers?</w:t>
      </w:r>
    </w:p>
    <w:p>
      <w:pPr>
        <w:pStyle w:val="Heading2"/>
        <w:spacing w:after="120" w:before="200"/>
      </w:pPr>
      <w:r>
        <w:rPr>
          <w:rFonts w:ascii="Georgia" w:cs="Georgia" w:eastAsia="Georgia" w:hAnsi="Georgia"/>
          <w:b/>
          <w:bCs/>
          <w:color w:val="2563A8"/>
          <w:sz w:val="28"/>
          <w:szCs w:val="28"/>
        </w:rPr>
        <w:t xml:space="preserve">3. De vier boardrollen</w:t>
      </w:r>
    </w:p>
    <w:p>
      <w:pPr>
        <w:pStyle w:val="ListParagraph"/>
        <w:numPr>
          <w:ilvl w:val="0"/>
          <w:numId w:val="1"/>
        </w:numPr>
        <w:spacing w:after="100" w:line="280"/>
      </w:pPr>
      <w:r>
        <w:rPr>
          <w:rFonts w:ascii="Calibri" w:cs="Calibri" w:eastAsia="Calibri" w:hAnsi="Calibri"/>
          <w:b/>
          <w:bCs/>
          <w:sz w:val="22"/>
          <w:szCs w:val="22"/>
        </w:rPr>
        <w:t xml:space="preserve">Bestuur (algemeen bestuur, AB)</w:t>
      </w:r>
      <w:r>
        <w:rPr>
          <w:rFonts w:ascii="Calibri" w:cs="Calibri" w:eastAsia="Calibri" w:hAnsi="Calibri"/>
          <w:sz w:val="22"/>
          <w:szCs w:val="22"/>
        </w:rPr>
        <w:t xml:space="preserve"> — draagt de formele go/no-go-bevoegdheid (deel 25, §6) en de uiteindelijke aansprakelijkheid. Primaire vraag: </w:t>
      </w:r>
      <w:r>
        <w:rPr>
          <w:rFonts w:ascii="Calibri" w:cs="Calibri" w:eastAsia="Calibri" w:hAnsi="Calibri"/>
          <w:i/>
          <w:iCs/>
          <w:sz w:val="22"/>
          <w:szCs w:val="22"/>
        </w:rPr>
        <w:t xml:space="preserve">"Kunnen wij dit besluit nu nog verantwoord nemen — en wat betekent uitstel voor onze geloofwaardigheid?"</w:t>
      </w:r>
    </w:p>
    <w:p>
      <w:pPr>
        <w:pStyle w:val="ListParagraph"/>
        <w:numPr>
          <w:ilvl w:val="0"/>
          <w:numId w:val="1"/>
        </w:numPr>
        <w:spacing w:after="100" w:line="280"/>
      </w:pPr>
      <w:r>
        <w:rPr>
          <w:rFonts w:ascii="Calibri" w:cs="Calibri" w:eastAsia="Calibri" w:hAnsi="Calibri"/>
          <w:b/>
          <w:bCs/>
          <w:sz w:val="22"/>
          <w:szCs w:val="22"/>
        </w:rPr>
        <w:t xml:space="preserve">DNB</w:t>
      </w:r>
      <w:r>
        <w:rPr>
          <w:rFonts w:ascii="Calibri" w:cs="Calibri" w:eastAsia="Calibri" w:hAnsi="Calibri"/>
          <w:sz w:val="22"/>
          <w:szCs w:val="22"/>
        </w:rPr>
        <w:t xml:space="preserve"> — houdt prudentieel en materieel toezicht (deel 24, §2). Primaire vraag: </w:t>
      </w:r>
      <w:r>
        <w:rPr>
          <w:rFonts w:ascii="Calibri" w:cs="Calibri" w:eastAsia="Calibri" w:hAnsi="Calibri"/>
          <w:i/>
          <w:iCs/>
          <w:sz w:val="22"/>
          <w:szCs w:val="22"/>
        </w:rPr>
        <w:t xml:space="preserve">"Hoe kon dit negen jaar onopgemerkt blijven, en is uw beheersing aantoonbaar genoeg om te garanderen dat dit zich niet herhaalt?"</w:t>
      </w:r>
    </w:p>
    <w:p>
      <w:pPr>
        <w:pStyle w:val="ListParagraph"/>
        <w:numPr>
          <w:ilvl w:val="0"/>
          <w:numId w:val="1"/>
        </w:numPr>
        <w:spacing w:after="100" w:line="280"/>
      </w:pPr>
      <w:r>
        <w:rPr>
          <w:rFonts w:ascii="Calibri" w:cs="Calibri" w:eastAsia="Calibri" w:hAnsi="Calibri"/>
          <w:b/>
          <w:bCs/>
          <w:sz w:val="22"/>
          <w:szCs w:val="22"/>
        </w:rPr>
        <w:t xml:space="preserve">AFM</w:t>
      </w:r>
      <w:r>
        <w:rPr>
          <w:rFonts w:ascii="Calibri" w:cs="Calibri" w:eastAsia="Calibri" w:hAnsi="Calibri"/>
          <w:sz w:val="22"/>
          <w:szCs w:val="22"/>
        </w:rPr>
        <w:t xml:space="preserve"> — houdt gedragstoezicht (deel 24, §2). Primaire vraag: </w:t>
      </w:r>
      <w:r>
        <w:rPr>
          <w:rFonts w:ascii="Calibri" w:cs="Calibri" w:eastAsia="Calibri" w:hAnsi="Calibri"/>
          <w:i/>
          <w:iCs/>
          <w:sz w:val="22"/>
          <w:szCs w:val="22"/>
        </w:rPr>
        <w:t xml:space="preserve">"Hoe en wanneer informeert u de geraakte deelnemers, en is dat eerlijk en tijdig?"</w:t>
      </w:r>
    </w:p>
    <w:p>
      <w:pPr>
        <w:pStyle w:val="ListParagraph"/>
        <w:numPr>
          <w:ilvl w:val="0"/>
          <w:numId w:val="1"/>
        </w:numPr>
        <w:spacing w:after="100" w:line="280"/>
      </w:pPr>
      <w:r>
        <w:rPr>
          <w:rFonts w:ascii="Calibri" w:cs="Calibri" w:eastAsia="Calibri" w:hAnsi="Calibri"/>
          <w:b/>
          <w:bCs/>
          <w:sz w:val="22"/>
          <w:szCs w:val="22"/>
        </w:rPr>
        <w:t xml:space="preserve">SRO (Senior Responsible Owner)</w:t>
      </w:r>
      <w:r>
        <w:rPr>
          <w:rFonts w:ascii="Calibri" w:cs="Calibri" w:eastAsia="Calibri" w:hAnsi="Calibri"/>
          <w:sz w:val="22"/>
          <w:szCs w:val="22"/>
        </w:rPr>
        <w:t xml:space="preserve"> — eindverantwoordelijk voor het programma Stelselovergang (niveau 2, deel 14, §2), in niveau 3 ook aangeduid als programmadirecteur. Draagt in deze simulatie het advies: wat is de aanbeveling, en welk deel van het besluit ligt bij het bestuur (deel 26, §4)?</w:t>
      </w:r>
    </w:p>
    <w:p>
      <w:pPr>
        <w:spacing w:after="140" w:line="300"/>
      </w:pPr>
      <w:r>
        <w:rPr>
          <w:rFonts w:ascii="Calibri" w:cs="Calibri" w:eastAsia="Calibri" w:hAnsi="Calibri"/>
          <w:sz w:val="22"/>
          <w:szCs w:val="22"/>
        </w:rPr>
        <w:t xml:space="preserve">Elke rol bevraagt dezelfde onderliggende feiten vanuit een eigen concern. Precies dat maakt de simulatie zwaar: het antwoord dat aan DNB wordt gegeven, moet volledig te rijmen zijn met wat het bestuur en de AFM te horen krijgen — dezelfde feiten, andere nadruk (deel 24, §4).</w:t>
      </w:r>
    </w:p>
    <w:p>
      <w:pPr>
        <w:pStyle w:val="Heading2"/>
        <w:spacing w:after="120" w:before="200"/>
      </w:pPr>
      <w:r>
        <w:rPr>
          <w:rFonts w:ascii="Georgia" w:cs="Georgia" w:eastAsia="Georgia" w:hAnsi="Georgia"/>
          <w:b/>
          <w:bCs/>
          <w:color w:val="2563A8"/>
          <w:sz w:val="28"/>
          <w:szCs w:val="28"/>
        </w:rPr>
        <w:t xml:space="preserve">4. Vooraf gedeeld, en verzegeld</w:t>
      </w:r>
    </w:p>
    <w:p>
      <w:pPr>
        <w:spacing w:after="140" w:line="300"/>
      </w:pPr>
      <w:r>
        <w:rPr>
          <w:rFonts w:ascii="Calibri" w:cs="Calibri" w:eastAsia="Calibri" w:hAnsi="Calibri"/>
          <w:sz w:val="22"/>
          <w:szCs w:val="22"/>
        </w:rPr>
        <w:t xml:space="preserve">Elke rolkaart (werkboek, dagdeel A) bestaat uit twee delen. Het eerste deel, </w:t>
      </w:r>
      <w:r>
        <w:rPr>
          <w:rFonts w:ascii="Calibri" w:cs="Calibri" w:eastAsia="Calibri" w:hAnsi="Calibri"/>
          <w:b/>
          <w:bCs/>
          <w:sz w:val="22"/>
          <w:szCs w:val="22"/>
        </w:rPr>
        <w:t xml:space="preserve">vooraf gedeeld</w:t>
      </w:r>
      <w:r>
        <w:rPr>
          <w:rFonts w:ascii="Calibri" w:cs="Calibri" w:eastAsia="Calibri" w:hAnsi="Calibri"/>
          <w:sz w:val="22"/>
          <w:szCs w:val="22"/>
        </w:rPr>
        <w:t xml:space="preserve">, bevat wat die rol logischerwijs al zou weten: achtergrondinformatie, cijfers, eerdere rapportages, standaardvragen. Dit deel wordt ruim vóór de simulatie bestudeerd, zodat elke deelnemer zijn rol met inhoudelijke kennis kan spelen.</w:t>
      </w:r>
    </w:p>
    <w:p>
      <w:pPr>
        <w:spacing w:after="140" w:line="300"/>
      </w:pPr>
      <w:r>
        <w:rPr>
          <w:rFonts w:ascii="Calibri" w:cs="Calibri" w:eastAsia="Calibri" w:hAnsi="Calibri"/>
          <w:sz w:val="22"/>
          <w:szCs w:val="22"/>
        </w:rPr>
        <w:t xml:space="preserve">Het tweede deel, </w:t>
      </w:r>
      <w:r>
        <w:rPr>
          <w:rFonts w:ascii="Calibri" w:cs="Calibri" w:eastAsia="Calibri" w:hAnsi="Calibri"/>
          <w:b/>
          <w:bCs/>
          <w:sz w:val="22"/>
          <w:szCs w:val="22"/>
        </w:rPr>
        <w:t xml:space="preserve">verzegeld</w:t>
      </w:r>
      <w:r>
        <w:rPr>
          <w:rFonts w:ascii="Calibri" w:cs="Calibri" w:eastAsia="Calibri" w:hAnsi="Calibri"/>
          <w:sz w:val="22"/>
          <w:szCs w:val="22"/>
        </w:rPr>
        <w:t xml:space="preserve">, wordt pas tijdens de simulatie zelf geopend — op een moment dat de docent aangeeft, of dat de rolspeler zelf kiest binnen de aanwijzingen op de kaart. Dit deel bevat nieuwe informatie die het gesprek verandert: een signaal, een vraag, een gegeven dat niet was voorzien. Dit dwingt tot </w:t>
      </w:r>
      <w:r>
        <w:rPr>
          <w:rFonts w:ascii="Calibri" w:cs="Calibri" w:eastAsia="Calibri" w:hAnsi="Calibri"/>
          <w:b/>
          <w:bCs/>
          <w:sz w:val="22"/>
          <w:szCs w:val="22"/>
        </w:rPr>
        <w:t xml:space="preserve">echte improvisatie binnen de geleerde kaders</w:t>
      </w:r>
      <w:r>
        <w:rPr>
          <w:rFonts w:ascii="Calibri" w:cs="Calibri" w:eastAsia="Calibri" w:hAnsi="Calibri"/>
          <w:sz w:val="22"/>
          <w:szCs w:val="22"/>
        </w:rPr>
        <w:t xml:space="preserve"> — niet het voordragen van een uit het hoofd geleerd verhaal, maar het live toepassen van wat de hele cursus heeft opgebouwd op iets wat niemand van tevoren kon voorbereiden.</w:t>
      </w:r>
    </w:p>
    <w:p>
      <w:pPr>
        <w:spacing w:after="140" w:line="300"/>
      </w:pPr>
      <w:r>
        <w:rPr>
          <w:rFonts w:ascii="Calibri" w:cs="Calibri" w:eastAsia="Calibri" w:hAnsi="Calibri"/>
          <w:sz w:val="22"/>
          <w:szCs w:val="22"/>
        </w:rPr>
        <w:t xml:space="preserve">Dit weerspiegelt hoe een echt boardgesprek werkt: sommige thema's zijn bekend en voorbereidbaar, andere komen pas ter plekke naar boven. Wie alleen het vooraf gedeelde deel heeft ingestudeerd, is voorbereid op de helft van het gesprek.</w:t>
      </w:r>
    </w:p>
    <w:p>
      <w:pPr>
        <w:pStyle w:val="Heading2"/>
        <w:spacing w:after="120" w:before="200"/>
      </w:pPr>
      <w:r>
        <w:rPr>
          <w:rFonts w:ascii="Georgia" w:cs="Georgia" w:eastAsia="Georgia" w:hAnsi="Georgia"/>
          <w:b/>
          <w:bCs/>
          <w:color w:val="2563A8"/>
          <w:sz w:val="28"/>
          <w:szCs w:val="28"/>
        </w:rPr>
        <w:t xml:space="preserve">5. De opzet van de simulatie</w:t>
      </w:r>
    </w:p>
    <w:p>
      <w:pPr>
        <w:spacing w:after="140" w:line="300"/>
      </w:pPr>
      <w:r>
        <w:rPr>
          <w:rFonts w:ascii="Calibri" w:cs="Calibri" w:eastAsia="Calibri" w:hAnsi="Calibri"/>
          <w:sz w:val="22"/>
          <w:szCs w:val="22"/>
        </w:rPr>
        <w:t xml:space="preserve">Een groep van vier deelnemers vormt samen één boardsimulatie: elk speelt één rol, en samen doorlopen zij het gesprek over de casus uit §2. Een simulatie duurt circa </w:t>
      </w:r>
      <w:r>
        <w:rPr>
          <w:rFonts w:ascii="Calibri" w:cs="Calibri" w:eastAsia="Calibri" w:hAnsi="Calibri"/>
          <w:b/>
          <w:bCs/>
          <w:sz w:val="22"/>
          <w:szCs w:val="22"/>
        </w:rPr>
        <w:t xml:space="preserve">35 minuten</w:t>
      </w:r>
      <w:r>
        <w:rPr>
          <w:rFonts w:ascii="Calibri" w:cs="Calibri" w:eastAsia="Calibri" w:hAnsi="Calibri"/>
          <w:sz w:val="22"/>
          <w:szCs w:val="22"/>
        </w:rPr>
        <w:t xml:space="preserve"> — voor elke deelnemer, in elke rol, geldt dezelfde tijdsdruk: er is geen ruimte om te wachten tot het gesprek "vanzelf" de goede kant op gaat.</w:t>
      </w:r>
    </w:p>
    <w:p>
      <w:pPr>
        <w:spacing w:after="140" w:line="300"/>
      </w:pPr>
      <w:r>
        <w:rPr>
          <w:rFonts w:ascii="Calibri" w:cs="Calibri" w:eastAsia="Calibri" w:hAnsi="Calibri"/>
          <w:sz w:val="22"/>
          <w:szCs w:val="22"/>
        </w:rPr>
        <w:t xml:space="preserve">Een bruikbaar verloop:</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b/>
          <w:bCs/>
          <w:sz w:val="22"/>
          <w:szCs w:val="22"/>
        </w:rPr>
        <w:t xml:space="preserve">Opening (circa 5 min).</w:t>
      </w:r>
      <w:r>
        <w:rPr>
          <w:rFonts w:ascii="Calibri" w:cs="Calibri" w:eastAsia="Calibri" w:hAnsi="Calibri"/>
          <w:sz w:val="22"/>
          <w:szCs w:val="22"/>
        </w:rPr>
        <w:t xml:space="preserve"> De SRO opent met een korte, feitelijke schets van de bevinding en een eerste richting voor een advies.</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Bevraging (circa 25 min).</w:t>
      </w:r>
      <w:r>
        <w:rPr>
          <w:rFonts w:ascii="Calibri" w:cs="Calibri" w:eastAsia="Calibri" w:hAnsi="Calibri"/>
          <w:sz w:val="22"/>
          <w:szCs w:val="22"/>
        </w:rPr>
        <w:t xml:space="preserve"> Bestuur, DNB en AFM bevragen de SRO en elkaar, deels vanuit hun vooraf gedeelde thema's, deels vanuit wat er verzegeld naar boven komt. Het bestuur werkt intussen toe naar een eigen positie: doorgaan, uitstellen, of gefaseerd verder.</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Besluitmoment (circa 5 min).</w:t>
      </w:r>
      <w:r>
        <w:rPr>
          <w:rFonts w:ascii="Calibri" w:cs="Calibri" w:eastAsia="Calibri" w:hAnsi="Calibri"/>
          <w:sz w:val="22"/>
          <w:szCs w:val="22"/>
        </w:rPr>
        <w:t xml:space="preserve"> Het bestuur formuleert, met de andere drie rollen nog aan tafel, een voorlopig besluit — inclusief hoe dit naar DNB en AFM wordt gecommuniceerd.</w:t>
      </w:r>
    </w:p>
    <w:p>
      <w:pPr>
        <w:spacing w:after="140" w:line="300"/>
      </w:pPr>
      <w:r>
        <w:rPr>
          <w:rFonts w:ascii="Calibri" w:cs="Calibri" w:eastAsia="Calibri" w:hAnsi="Calibri"/>
          <w:sz w:val="22"/>
          <w:szCs w:val="22"/>
        </w:rPr>
        <w:t xml:space="preserve">Andere groepen die niet aan de beurt zijn, kijken toe en leveren na afloop kort peer-feedback, aan de hand van de rubric in §6. Zie werkboek en docentenhandleiding voor de volledige rolkaarten en het draaiboek.</w:t>
      </w:r>
    </w:p>
    <w:p>
      <w:pPr>
        <w:pStyle w:val="Heading2"/>
        <w:spacing w:after="120" w:before="200"/>
      </w:pPr>
      <w:r>
        <w:rPr>
          <w:rFonts w:ascii="Georgia" w:cs="Georgia" w:eastAsia="Georgia" w:hAnsi="Georgia"/>
          <w:b/>
          <w:bCs/>
          <w:color w:val="2563A8"/>
          <w:sz w:val="28"/>
          <w:szCs w:val="28"/>
        </w:rPr>
        <w:t xml:space="preserve">6. De sluitstuk-rubric: zes criteria</w:t>
      </w:r>
    </w:p>
    <w:p>
      <w:pPr>
        <w:spacing w:after="140" w:line="300"/>
      </w:pPr>
      <w:r>
        <w:rPr>
          <w:rFonts w:ascii="Calibri" w:cs="Calibri" w:eastAsia="Calibri" w:hAnsi="Calibri"/>
          <w:sz w:val="22"/>
          <w:szCs w:val="22"/>
        </w:rPr>
        <w:t xml:space="preserve">Omdat dit de eindtoets van de hele cursus is, weegt de rubric zwaarder dan de vier criteria uit deel 10 en deel 22. Zes criteria, elk gevoed door een specifiek deel van niveau 1 tot en met 3:</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b/>
          <w:bCs/>
          <w:sz w:val="22"/>
          <w:szCs w:val="22"/>
        </w:rPr>
        <w:t xml:space="preserve">Technische correctheid van de PRINCE2/MSP-toepassing</w:t>
      </w:r>
      <w:r>
        <w:rPr>
          <w:rFonts w:ascii="Calibri" w:cs="Calibri" w:eastAsia="Calibri" w:hAnsi="Calibri"/>
          <w:sz w:val="22"/>
          <w:szCs w:val="22"/>
        </w:rPr>
        <w:t xml:space="preserve"> — worden de juiste concepten (tolerantie, business justification, tranche, Justification-theme) correct en op het juiste niveau toegepast?</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b/>
          <w:bCs/>
          <w:sz w:val="22"/>
          <w:szCs w:val="22"/>
        </w:rPr>
        <w:t xml:space="preserve">Registerwisseling tussen de vier rollen, consistent en zonder feiten te verliezen</w:t>
      </w:r>
      <w:r>
        <w:rPr>
          <w:rFonts w:ascii="Calibri" w:cs="Calibri" w:eastAsia="Calibri" w:hAnsi="Calibri"/>
          <w:sz w:val="22"/>
          <w:szCs w:val="22"/>
        </w:rPr>
        <w:t xml:space="preserve"> (deel 24, 27, 29) — blijft de kern van de bevinding overeind, ongeacht wie er aan het woord is?</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b/>
          <w:bCs/>
          <w:sz w:val="22"/>
          <w:szCs w:val="22"/>
        </w:rPr>
        <w:t xml:space="preserve">Herkenning en juiste behandeling van geaggregeerd risico en onomkeerbaarheid</w:t>
      </w:r>
      <w:r>
        <w:rPr>
          <w:rFonts w:ascii="Calibri" w:cs="Calibri" w:eastAsia="Calibri" w:hAnsi="Calibri"/>
          <w:sz w:val="22"/>
          <w:szCs w:val="22"/>
        </w:rPr>
        <w:t xml:space="preserve"> (deel 18, 25) — wordt het probleem in zijn volle, opgeschaalde betekenis gezien, niet alleen als een geïsoleerd detail?</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b/>
          <w:bCs/>
          <w:sz w:val="22"/>
          <w:szCs w:val="22"/>
        </w:rPr>
        <w:t xml:space="preserve">Kwaliteit van het stopadvies of aanpassingsadvies, waar relevant</w:t>
      </w:r>
      <w:r>
        <w:rPr>
          <w:rFonts w:ascii="Calibri" w:cs="Calibri" w:eastAsia="Calibri" w:hAnsi="Calibri"/>
          <w:sz w:val="22"/>
          <w:szCs w:val="22"/>
        </w:rPr>
        <w:t xml:space="preserve"> (deel 26) — zijn de vier elementen (erkende bijdrage, relatieve afweging, lot van het werk, besluit bij de juiste laag) herkenbaar aanwezig?</w:t>
      </w:r>
    </w:p>
    <w:p>
      <w:pPr>
        <w:spacing w:after="120" w:line="280"/>
        <w:ind w:left="360" w:hanging="360"/>
      </w:pPr>
      <w:r>
        <w:rPr>
          <w:rFonts w:ascii="Calibri" w:cs="Calibri" w:eastAsia="Calibri" w:hAnsi="Calibri"/>
          <w:b/>
          <w:bCs/>
          <w:color w:val="2563A8"/>
          <w:sz w:val="22"/>
          <w:szCs w:val="22"/>
        </w:rPr>
        <w:t xml:space="preserve">e. </w:t>
      </w:r>
      <w:r>
        <w:rPr>
          <w:rFonts w:ascii="Calibri" w:cs="Calibri" w:eastAsia="Calibri" w:hAnsi="Calibri"/>
          <w:b/>
          <w:bCs/>
          <w:sz w:val="22"/>
          <w:szCs w:val="22"/>
        </w:rPr>
        <w:t xml:space="preserve">Ethische standvastigheid onder druk</w:t>
      </w:r>
      <w:r>
        <w:rPr>
          <w:rFonts w:ascii="Calibri" w:cs="Calibri" w:eastAsia="Calibri" w:hAnsi="Calibri"/>
          <w:sz w:val="22"/>
          <w:szCs w:val="22"/>
        </w:rPr>
        <w:t xml:space="preserve"> (deel 27) — houdt de rolspeler, ook onder gecombineerde bevraging van meerdere rollen tegelijk, de grens tussen legitiem-optimistisch en misleidend overeind?</w:t>
      </w:r>
    </w:p>
    <w:p>
      <w:pPr>
        <w:spacing w:after="120" w:line="280"/>
        <w:ind w:left="360" w:hanging="360"/>
      </w:pPr>
      <w:r>
        <w:rPr>
          <w:rFonts w:ascii="Calibri" w:cs="Calibri" w:eastAsia="Calibri" w:hAnsi="Calibri"/>
          <w:b/>
          <w:bCs/>
          <w:color w:val="2563A8"/>
          <w:sz w:val="22"/>
          <w:szCs w:val="22"/>
        </w:rPr>
        <w:t xml:space="preserve">f. </w:t>
      </w:r>
      <w:r>
        <w:rPr>
          <w:rFonts w:ascii="Calibri" w:cs="Calibri" w:eastAsia="Calibri" w:hAnsi="Calibri"/>
          <w:b/>
          <w:bCs/>
          <w:sz w:val="22"/>
          <w:szCs w:val="22"/>
        </w:rPr>
        <w:t xml:space="preserve">Besluitvaardigheid en verdediging onder kritische bevraging</w:t>
      </w:r>
      <w:r>
        <w:rPr>
          <w:rFonts w:ascii="Calibri" w:cs="Calibri" w:eastAsia="Calibri" w:hAnsi="Calibri"/>
          <w:sz w:val="22"/>
          <w:szCs w:val="22"/>
        </w:rPr>
        <w:t xml:space="preserve"> — wordt er daadwerkelijk een positie ingenomen en volgehouden, met heldere argumentatie, in plaats van ontwijkend antwoorden?</w:t>
      </w:r>
    </w:p>
    <w:p>
      <w:pPr>
        <w:spacing w:after="140" w:line="300"/>
      </w:pPr>
      <w:r>
        <w:rPr>
          <w:rFonts w:ascii="Calibri" w:cs="Calibri" w:eastAsia="Calibri" w:hAnsi="Calibri"/>
          <w:sz w:val="22"/>
          <w:szCs w:val="22"/>
        </w:rPr>
        <w:t xml:space="preserve">De volledige rubrictabel, met een toelichting per niveau (onvoldoende/voldoende/sterk), staat in het werkboek.</w:t>
      </w:r>
    </w:p>
    <w:p>
      <w:pPr>
        <w:pStyle w:val="Heading2"/>
        <w:spacing w:after="120" w:before="200"/>
      </w:pPr>
      <w:r>
        <w:rPr>
          <w:rFonts w:ascii="Georgia" w:cs="Georgia" w:eastAsia="Georgia" w:hAnsi="Georgia"/>
          <w:b/>
          <w:bCs/>
          <w:color w:val="2563A8"/>
          <w:sz w:val="28"/>
          <w:szCs w:val="28"/>
        </w:rPr>
        <w:t xml:space="preserve">7. Slotreflectie: de hele boog, van deel 1 tot vandaag</w:t>
      </w:r>
    </w:p>
    <w:p>
      <w:pPr>
        <w:spacing w:after="140" w:line="300"/>
      </w:pPr>
      <w:r>
        <w:rPr>
          <w:rFonts w:ascii="Calibri" w:cs="Calibri" w:eastAsia="Calibri" w:hAnsi="Calibri"/>
          <w:sz w:val="22"/>
          <w:szCs w:val="22"/>
        </w:rPr>
        <w:t xml:space="preserve">Deel 1 opende deze cursus met zeven bevindingen uit de post-mortem van WGP 2.0 — een project dat mislukte omdat de business case niet leefde, de stuurgroep geen bevoegdheid had, er geen beheerste stappen waren, er activiteiten in plaats van resultaten werden gepland, er geen toleranties waren om te sturen, het risicoregister geen eigenaren had, en er geen zicht was op baten. Dertig delen later is het de moeite waard om, één voor één, te zien waar elke bevinding uiteindelijk landt — niet als afvinklijst, maar als bewijs dat de cursus een samenhangend geheel vormt: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Bevinding (deel 1)</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Waar dit uiteindelijk wordt geadresseerd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 Geen levende business case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Continued business justification als principe (niveau 1) en Justification-theme met herijking per tranche (niveau 2); in dit deel: elk go/no-go-besluit is een levende afweging, geen formaliteit (deel 25, §6; deel 26)</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 Stuurgroep zonder bevoegdheid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Toleranties en escalatiepaden (niveau 1), sponsoring group/Programme Board (niveau 2, deel 14); in dit deel: het bestuur draagt een echt, gewogen go/no-go-mandaat (deel 25, §6)</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 Eén grote fase i.p.v. beheerste stappen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Fasering en Managing a Stage Boundary (niveau 1), tranches en Tranche Reviews (niveau 2, deel 15); in dit deel: een expliciet ingebouwd go/no-go-moment vlak vóór een onomkeerbare stap (deel 25, §6)</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 Activiteiten- i.p.v. resultatenplanning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Product-based planning (niveau 1), benefits management (niveau 2, deel 12-13); in dit deel: het advies wordt beoordeeld op wat het nog oplevert, niet op wat al is gedaan (deel 26, §3)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5. Geen toleranties, dus geen sturing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Toleranties per niveau (niveau 1, deel 6; niveau 2, deel 17); in dit deel: geaggregeerd risico dat over projectgrenzen heen wordt bewaakt (deel 18, deel 28 §3)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6. Risicolijst zonder eigenaren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Risico-eigenaarschap (niveau 1, deel 6); in dit deel: risicobeoordeling per kritiek data-element, met een aanwijsbare verantwoordelijke voor het advies (deel 25, §3; deel 26, §4)</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7. Geen zicht op baten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Benefits mapping en batenrealisatie (niveau 2, deel 12, 21); in dit deel: de ethische plicht om baten en risico's eerlijk te blijven melden, ook onder druk om ze gunstiger voor te stellen (deel 27)</w:t>
            </w:r>
          </w:p>
        </w:tc>
      </w:tr>
    </w:tbl>
    <w:p>
      <w:pPr>
        <w:spacing w:after="140" w:line="300"/>
      </w:pPr>
      <w:r>
        <w:rPr>
          <w:rFonts w:ascii="Calibri" w:cs="Calibri" w:eastAsia="Calibri" w:hAnsi="Calibri"/>
          <w:sz w:val="22"/>
          <w:szCs w:val="22"/>
        </w:rPr>
        <w:t xml:space="preserve">Deze tabel is het uitgangspunt voor de individuele slotreflectie in het werkboek (opdracht na de simulatie): niet alleen "wat heb ik geleerd", maar "hoe heeft mijn eigen optreden in de masterproef laten zien dat deze bevindingen zijn voorkomen?"</w:t>
      </w:r>
    </w:p>
    <w:p>
      <w:pPr>
        <w:pStyle w:val="Heading2"/>
        <w:spacing w:after="120" w:before="200"/>
      </w:pPr>
      <w:r>
        <w:rPr>
          <w:rFonts w:ascii="Georgia" w:cs="Georgia" w:eastAsia="Georgia" w:hAnsi="Georgia"/>
          <w:b/>
          <w:bCs/>
          <w:color w:val="2563A8"/>
          <w:sz w:val="28"/>
          <w:szCs w:val="28"/>
        </w:rPr>
        <w:t xml:space="preserve">8. Terugblik: de boog van niveau 3</w:t>
      </w:r>
    </w:p>
    <w:p>
      <w:pPr>
        <w:pStyle w:val="ListParagraph"/>
        <w:numPr>
          <w:ilvl w:val="0"/>
          <w:numId w:val="1"/>
        </w:numPr>
        <w:spacing w:after="100" w:line="280"/>
      </w:pPr>
      <w:r>
        <w:rPr>
          <w:rFonts w:ascii="Calibri" w:cs="Calibri" w:eastAsia="Calibri" w:hAnsi="Calibri"/>
          <w:b/>
          <w:bCs/>
          <w:sz w:val="22"/>
          <w:szCs w:val="22"/>
        </w:rPr>
        <w:t xml:space="preserve">Deel 23</w:t>
      </w:r>
      <w:r>
        <w:rPr>
          <w:rFonts w:ascii="Calibri" w:cs="Calibri" w:eastAsia="Calibri" w:hAnsi="Calibri"/>
          <w:sz w:val="22"/>
          <w:szCs w:val="22"/>
        </w:rPr>
        <w:t xml:space="preserve">: assessmentvaardigheid — twee fundamenteel verschillende manieren om bekwaamheid te bewijzen, en de nieuwe casus geïntroduceerd.</w:t>
      </w:r>
    </w:p>
    <w:p>
      <w:pPr>
        <w:pStyle w:val="ListParagraph"/>
        <w:numPr>
          <w:ilvl w:val="0"/>
          <w:numId w:val="1"/>
        </w:numPr>
        <w:spacing w:after="100" w:line="280"/>
      </w:pPr>
      <w:r>
        <w:rPr>
          <w:rFonts w:ascii="Calibri" w:cs="Calibri" w:eastAsia="Calibri" w:hAnsi="Calibri"/>
          <w:b/>
          <w:bCs/>
          <w:sz w:val="22"/>
          <w:szCs w:val="22"/>
        </w:rPr>
        <w:t xml:space="preserve">Deel 24</w:t>
      </w:r>
      <w:r>
        <w:rPr>
          <w:rFonts w:ascii="Calibri" w:cs="Calibri" w:eastAsia="Calibri" w:hAnsi="Calibri"/>
          <w:sz w:val="22"/>
          <w:szCs w:val="22"/>
        </w:rPr>
        <w:t xml:space="preserve">: toezicht, verantwoording en de kernregel van registerwisseling.</w:t>
      </w:r>
    </w:p>
    <w:p>
      <w:pPr>
        <w:pStyle w:val="ListParagraph"/>
        <w:numPr>
          <w:ilvl w:val="0"/>
          <w:numId w:val="1"/>
        </w:numPr>
        <w:spacing w:after="100" w:line="280"/>
      </w:pPr>
      <w:r>
        <w:rPr>
          <w:rFonts w:ascii="Calibri" w:cs="Calibri" w:eastAsia="Calibri" w:hAnsi="Calibri"/>
          <w:b/>
          <w:bCs/>
          <w:sz w:val="22"/>
          <w:szCs w:val="22"/>
        </w:rPr>
        <w:t xml:space="preserve">Deel 25</w:t>
      </w:r>
      <w:r>
        <w:rPr>
          <w:rFonts w:ascii="Calibri" w:cs="Calibri" w:eastAsia="Calibri" w:hAnsi="Calibri"/>
          <w:sz w:val="22"/>
          <w:szCs w:val="22"/>
        </w:rPr>
        <w:t xml:space="preserve">: transitie en invaren — datakwaliteit, onafhankelijke toetsing, onomkeerbaarheid.</w:t>
      </w:r>
    </w:p>
    <w:p>
      <w:pPr>
        <w:pStyle w:val="ListParagraph"/>
        <w:numPr>
          <w:ilvl w:val="0"/>
          <w:numId w:val="1"/>
        </w:numPr>
        <w:spacing w:after="100" w:line="280"/>
      </w:pPr>
      <w:r>
        <w:rPr>
          <w:rFonts w:ascii="Calibri" w:cs="Calibri" w:eastAsia="Calibri" w:hAnsi="Calibri"/>
          <w:b/>
          <w:bCs/>
          <w:sz w:val="22"/>
          <w:szCs w:val="22"/>
        </w:rPr>
        <w:t xml:space="preserve">Deel 26</w:t>
      </w:r>
      <w:r>
        <w:rPr>
          <w:rFonts w:ascii="Calibri" w:cs="Calibri" w:eastAsia="Calibri" w:hAnsi="Calibri"/>
          <w:sz w:val="22"/>
          <w:szCs w:val="22"/>
        </w:rPr>
        <w:t xml:space="preserve">: verdedigbaar stoppen en herprioriteren, voorbij de sunk cost-valkuil.</w:t>
      </w:r>
    </w:p>
    <w:p>
      <w:pPr>
        <w:pStyle w:val="ListParagraph"/>
        <w:numPr>
          <w:ilvl w:val="0"/>
          <w:numId w:val="1"/>
        </w:numPr>
        <w:spacing w:after="100" w:line="280"/>
      </w:pPr>
      <w:r>
        <w:rPr>
          <w:rFonts w:ascii="Calibri" w:cs="Calibri" w:eastAsia="Calibri" w:hAnsi="Calibri"/>
          <w:b/>
          <w:bCs/>
          <w:sz w:val="22"/>
          <w:szCs w:val="22"/>
        </w:rPr>
        <w:t xml:space="preserve">Deel 27</w:t>
      </w:r>
      <w:r>
        <w:rPr>
          <w:rFonts w:ascii="Calibri" w:cs="Calibri" w:eastAsia="Calibri" w:hAnsi="Calibri"/>
          <w:sz w:val="22"/>
          <w:szCs w:val="22"/>
        </w:rPr>
        <w:t xml:space="preserve">: leiderschap en ethiek onder druk — mandaat versus invloed, de DNB-toets.</w:t>
      </w:r>
    </w:p>
    <w:p>
      <w:pPr>
        <w:pStyle w:val="ListParagraph"/>
        <w:numPr>
          <w:ilvl w:val="0"/>
          <w:numId w:val="1"/>
        </w:numPr>
        <w:spacing w:after="100" w:line="280"/>
      </w:pPr>
      <w:r>
        <w:rPr>
          <w:rFonts w:ascii="Calibri" w:cs="Calibri" w:eastAsia="Calibri" w:hAnsi="Calibri"/>
          <w:b/>
          <w:bCs/>
          <w:sz w:val="22"/>
          <w:szCs w:val="22"/>
        </w:rPr>
        <w:t xml:space="preserve">Deel 28-29</w:t>
      </w:r>
      <w:r>
        <w:rPr>
          <w:rFonts w:ascii="Calibri" w:cs="Calibri" w:eastAsia="Calibri" w:hAnsi="Calibri"/>
          <w:sz w:val="22"/>
          <w:szCs w:val="22"/>
        </w:rPr>
        <w:t xml:space="preserve">: twee casuïstiek-marathons, oplopend in zwaarte, met registerwisseling als verplichte laag in de tweede.</w:t>
      </w:r>
    </w:p>
    <w:p>
      <w:pPr>
        <w:pStyle w:val="ListParagraph"/>
        <w:numPr>
          <w:ilvl w:val="0"/>
          <w:numId w:val="1"/>
        </w:numPr>
        <w:spacing w:after="100" w:line="280"/>
      </w:pPr>
      <w:r>
        <w:rPr>
          <w:rFonts w:ascii="Calibri" w:cs="Calibri" w:eastAsia="Calibri" w:hAnsi="Calibri"/>
          <w:b/>
          <w:bCs/>
          <w:sz w:val="22"/>
          <w:szCs w:val="22"/>
        </w:rPr>
        <w:t xml:space="preserve">Deel 30</w:t>
      </w:r>
      <w:r>
        <w:rPr>
          <w:rFonts w:ascii="Calibri" w:cs="Calibri" w:eastAsia="Calibri" w:hAnsi="Calibri"/>
          <w:sz w:val="22"/>
          <w:szCs w:val="22"/>
        </w:rPr>
        <w:t xml:space="preserve">: alles samengebracht in één levende simulatie, met de hele cursusboog als slotreflectie.</w:t>
      </w:r>
    </w:p>
    <w:p>
      <w:pPr>
        <w:pStyle w:val="Heading2"/>
        <w:spacing w:after="120" w:before="200"/>
      </w:pPr>
      <w:r>
        <w:rPr>
          <w:rFonts w:ascii="Georgia" w:cs="Georgia" w:eastAsia="Georgia" w:hAnsi="Georgia"/>
          <w:b/>
          <w:bCs/>
          <w:color w:val="2563A8"/>
          <w:sz w:val="28"/>
          <w:szCs w:val="28"/>
        </w:rPr>
        <w:t xml:space="preserve">9. Na deze cursus</w:t>
      </w:r>
    </w:p>
    <w:p>
      <w:pPr>
        <w:spacing w:after="140" w:line="300"/>
      </w:pPr>
      <w:r>
        <w:rPr>
          <w:rFonts w:ascii="Calibri" w:cs="Calibri" w:eastAsia="Calibri" w:hAnsi="Calibri"/>
          <w:sz w:val="22"/>
          <w:szCs w:val="22"/>
        </w:rPr>
        <w:t xml:space="preserve">Wat deze cursus heeft opgebouwd: het vermogen om een project te besturen (niveau 1), dat op te schalen naar een programma met een eigen batenlogica (niveau 2), en dat vervolgens te verantwoorden onder extern toezicht, bij een onomkeerbaar besluit, onder politieke en persoonlijke druk (niveau 3). PRINCE2 7 Foundation en Practitioner, MSP Foundation en Practitioner, en IPMA-D tot en met B zijn hiermee inhoudelijk gedekt — de daadwerkelijke examens, het IPMA-B-competentiedossier en het assessmentgesprek (deel 23) blijven een eigen, individueel traject dat na deze cursus doorloopt. Wat hier is geoefend, is het fundament: de rest is oefening en ervaring die met de tijd komt.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30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2026-08-17T08:35:35.847Z</dcterms:created>
  <dcterms:modified xsi:type="dcterms:W3CDTF">2026-08-17T08:35:35.848Z</dcterms:modified>
</cp:coreProperties>
</file>

<file path=docProps/custom.xml><?xml version="1.0" encoding="utf-8"?>
<Properties xmlns="http://schemas.openxmlformats.org/officeDocument/2006/custom-properties" xmlns:vt="http://schemas.openxmlformats.org/officeDocument/2006/docPropsVTypes"/>
</file>