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30 — Masterproef: de boardsimulatie (twee dagdelen)</w:t>
      </w:r>
    </w:p>
    <w:p>
      <w:pPr>
        <w:spacing w:after="300"/>
      </w:pPr>
      <w:r>
        <w:rPr>
          <w:rFonts w:ascii="Calibri" w:cs="Calibri" w:eastAsia="Calibri" w:hAnsi="Calibri"/>
          <w:i/>
          <w:iCs/>
          <w:color w:val="2563A8"/>
          <w:sz w:val="22"/>
          <w:szCs w:val="22"/>
        </w:rPr>
        <w:t xml:space="preserve">Niveau 3 Expert · Project- en Programmamanagement</w:t>
      </w:r>
    </w:p>
    <w:p>
      <w:pPr>
        <w:spacing w:after="140" w:line="300"/>
      </w:pPr>
      <w:r>
        <w:rPr>
          <w:rFonts w:ascii="Calibri" w:cs="Calibri" w:eastAsia="Calibri" w:hAnsi="Calibri"/>
          <w:i/>
          <w:iCs/>
          <w:sz w:val="22"/>
          <w:szCs w:val="22"/>
        </w:rPr>
        <w:t xml:space="preserve">Elke rolkaart hieronder bestaat uit twee blokken: "Vooraf gedeeld" (bestudeer dit ruim vóór de simulatie) en "Verzegeld — pas openen tijdens de simulatie" (dit deel ken je nu nog niet; open het pas op het moment dat de docent aangeeft, of zoals aangegeven op je eigen kaart). Lees vóór dagdeel A alleen de rolkaart van je eigen, toegewezen rol — niet die van de anderen.</w:t>
      </w:r>
    </w:p>
    <w:p>
      <w:pPr>
        <w:pStyle w:val="Heading2"/>
        <w:spacing w:after="120" w:before="200"/>
      </w:pPr>
      <w:r>
        <w:rPr>
          <w:rFonts w:ascii="Georgia" w:cs="Georgia" w:eastAsia="Georgia" w:hAnsi="Georgia"/>
          <w:b/>
          <w:bCs/>
          <w:color w:val="2563A8"/>
          <w:sz w:val="28"/>
          <w:szCs w:val="28"/>
        </w:rPr>
        <w:t xml:space="preserve">Dagdeel A — Voorbereiding</w:t>
      </w:r>
    </w:p>
    <w:p>
      <w:pPr>
        <w:pStyle w:val="Heading2"/>
        <w:spacing w:after="120" w:before="200"/>
      </w:pPr>
      <w:r>
        <w:rPr>
          <w:rFonts w:ascii="Georgia" w:cs="Georgia" w:eastAsia="Georgia" w:hAnsi="Georgia"/>
          <w:b/>
          <w:bCs/>
          <w:color w:val="2563A8"/>
          <w:sz w:val="28"/>
          <w:szCs w:val="28"/>
        </w:rPr>
        <w:t xml:space="preserve">Opdracht 30.1 — De casus in eigen woorden (individueel, 15 min)</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Schrijf de kern van de masterproefcasus (reader §2) in maximaal vijf zinnen.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Welke twee delen uit niveau 3 (23-29) acht je, op het eerste gezicht, het meest relevant voor deze casus, en waarom?</w:t>
      </w:r>
    </w:p>
    <w:p>
      <w:pPr>
        <w:pStyle w:val="Heading2"/>
        <w:spacing w:after="120" w:before="200"/>
      </w:pPr>
      <w:r>
        <w:rPr>
          <w:rFonts w:ascii="Georgia" w:cs="Georgia" w:eastAsia="Georgia" w:hAnsi="Georgia"/>
          <w:b/>
          <w:bCs/>
          <w:color w:val="2563A8"/>
          <w:sz w:val="28"/>
          <w:szCs w:val="28"/>
        </w:rPr>
        <w:t xml:space="preserve">Opdracht 30.2 — Rolverdeling en rolkaart bestuderen (groepswerk, 40 min)</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Vorm groepen van vier. Verdeel de vier rollen (bestuur, DNB, AFM, SRO) — bij voorkeur een rol die je nog niet eerder in de cursus hebt gespeeld.</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Bestudeer individueel het "Vooraf gedeeld"-blok van je eigen rolkaart (hieronder). Laat het "Verzegeld"-blok voorlopig ongelezen.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Bespreek in de groep, zonder de verzegelde inhoud te delen: wat verwacht je dat de andere drie rollen zullen inbrengen, gebaseerd op wat je van hun rol weet uit deel 24 (DNB/AFM) en deel 14/26 (bestuur/SRO)?</w:t>
      </w:r>
    </w:p>
    <w:p>
      <w:pPr>
        <w:pStyle w:val="Heading2"/>
        <w:spacing w:after="120" w:before="200"/>
      </w:pPr>
      <w:r>
        <w:rPr>
          <w:rFonts w:ascii="Georgia" w:cs="Georgia" w:eastAsia="Georgia" w:hAnsi="Georgia"/>
          <w:b/>
          <w:bCs/>
          <w:color w:val="2563A8"/>
          <w:sz w:val="28"/>
          <w:szCs w:val="28"/>
        </w:rPr>
        <w:t xml:space="preserve">Opdracht 30.3 — Je eigen inbreng voorbereiden (individueel, 30 min)</w:t>
      </w:r>
    </w:p>
    <w:p>
      <w:pPr>
        <w:spacing w:after="140" w:line="300"/>
      </w:pPr>
      <w:r>
        <w:rPr>
          <w:rFonts w:ascii="Calibri" w:cs="Calibri" w:eastAsia="Calibri" w:hAnsi="Calibri"/>
          <w:sz w:val="22"/>
          <w:szCs w:val="22"/>
        </w:rPr>
        <w:t xml:space="preserve">Bouw, voor je eigen rol, een korte set spreekaantekeningen:</w:t>
      </w:r>
    </w:p>
    <w:p>
      <w:pPr>
        <w:pStyle w:val="ListParagraph"/>
        <w:numPr>
          <w:ilvl w:val="0"/>
          <w:numId w:val="1"/>
        </w:numPr>
        <w:spacing w:after="100" w:line="280"/>
      </w:pPr>
      <w:r>
        <w:rPr>
          <w:rFonts w:ascii="Calibri" w:cs="Calibri" w:eastAsia="Calibri" w:hAnsi="Calibri"/>
          <w:sz w:val="22"/>
          <w:szCs w:val="22"/>
        </w:rPr>
        <w:t xml:space="preserve">Je primaire vraag of positie (zie rolkaart).</w:t>
      </w:r>
    </w:p>
    <w:p>
      <w:pPr>
        <w:pStyle w:val="ListParagraph"/>
        <w:numPr>
          <w:ilvl w:val="0"/>
          <w:numId w:val="1"/>
        </w:numPr>
        <w:spacing w:after="100" w:line="280"/>
      </w:pPr>
      <w:r>
        <w:rPr>
          <w:rFonts w:ascii="Calibri" w:cs="Calibri" w:eastAsia="Calibri" w:hAnsi="Calibri"/>
          <w:sz w:val="22"/>
          <w:szCs w:val="22"/>
        </w:rPr>
        <w:t xml:space="preserve">De twee of drie punten uit je "Vooraf gedeeld"-blok die je zeker wilt inbrengen.</w:t>
      </w:r>
    </w:p>
    <w:p>
      <w:pPr>
        <w:pStyle w:val="ListParagraph"/>
        <w:numPr>
          <w:ilvl w:val="0"/>
          <w:numId w:val="1"/>
        </w:numPr>
        <w:spacing w:after="100" w:line="280"/>
      </w:pPr>
      <w:r>
        <w:rPr>
          <w:rFonts w:ascii="Calibri" w:cs="Calibri" w:eastAsia="Calibri" w:hAnsi="Calibri"/>
          <w:sz w:val="22"/>
          <w:szCs w:val="22"/>
        </w:rPr>
        <w:t xml:space="preserve">Voor de SRO specifiek: een eerste opzet van het advies, langs de vier elementen uit deel 26 (§4): erkende bijdrage, relatieve afweging, lot van het werk, besluit bij de juiste laag.</w:t>
      </w:r>
    </w:p>
    <w:p>
      <w:pPr>
        <w:pStyle w:val="Heading2"/>
        <w:spacing w:after="120" w:before="200"/>
      </w:pPr>
      <w:r>
        <w:rPr>
          <w:rFonts w:ascii="Georgia" w:cs="Georgia" w:eastAsia="Georgia" w:hAnsi="Georgia"/>
          <w:b/>
          <w:bCs/>
          <w:color w:val="2563A8"/>
          <w:sz w:val="28"/>
          <w:szCs w:val="28"/>
        </w:rPr>
        <w:t xml:space="preserve">Opdracht 30.4 — Huiswerk: laatste voorbereiding (individueel, geen inlevering)</w:t>
      </w:r>
    </w:p>
    <w:p>
      <w:pPr>
        <w:spacing w:after="140" w:line="300"/>
      </w:pPr>
      <w:r>
        <w:rPr>
          <w:rFonts w:ascii="Calibri" w:cs="Calibri" w:eastAsia="Calibri" w:hAnsi="Calibri"/>
          <w:sz w:val="22"/>
          <w:szCs w:val="22"/>
        </w:rPr>
        <w:t xml:space="preserve">Oefen je opening (voor de SRO: de eerste vijf minuten; voor de andere rollen: je eerste vraag of positie) hardop, minstens één keer, zodat je die in dagdeel B vloeiend kunt brengen.</w:t>
      </w:r>
    </w:p>
    <w:p>
      <w:pPr>
        <w:pStyle w:val="Heading2"/>
        <w:spacing w:after="120" w:before="200"/>
      </w:pPr>
      <w:r>
        <w:rPr>
          <w:rFonts w:ascii="Georgia" w:cs="Georgia" w:eastAsia="Georgia" w:hAnsi="Georgia"/>
          <w:b/>
          <w:bCs/>
          <w:color w:val="2563A8"/>
          <w:sz w:val="28"/>
          <w:szCs w:val="28"/>
        </w:rPr>
        <w:t xml:space="preserve">De vier rolkaarten</w:t>
      </w:r>
    </w:p>
    <w:p>
      <w:pPr>
        <w:pStyle w:val="Heading2"/>
        <w:spacing w:after="120" w:before="200"/>
      </w:pPr>
      <w:r>
        <w:rPr>
          <w:rFonts w:ascii="Georgia" w:cs="Georgia" w:eastAsia="Georgia" w:hAnsi="Georgia"/>
          <w:b/>
          <w:bCs/>
          <w:color w:val="2563A8"/>
          <w:sz w:val="28"/>
          <w:szCs w:val="28"/>
        </w:rPr>
        <w:t xml:space="preserve">Rolkaart — Bestuur (algemeen bestuur, AB)</w:t>
      </w:r>
    </w:p>
    <w:p>
      <w:pPr>
        <w:spacing w:after="140" w:line="300"/>
      </w:pPr>
      <w:r>
        <w:rPr>
          <w:rFonts w:ascii="Calibri" w:cs="Calibri" w:eastAsia="Calibri" w:hAnsi="Calibri"/>
          <w:b/>
          <w:bCs/>
          <w:sz w:val="22"/>
          <w:szCs w:val="22"/>
        </w:rPr>
        <w:t xml:space="preserve">Primaire vraag:</w:t>
      </w:r>
      <w:r>
        <w:rPr>
          <w:rFonts w:ascii="Calibri" w:cs="Calibri" w:eastAsia="Calibri" w:hAnsi="Calibri"/>
          <w:sz w:val="22"/>
          <w:szCs w:val="22"/>
        </w:rPr>
        <w:t xml:space="preserve"> "Kunnen wij dit go/no-go-besluit nu nog verantwoord nemen — en wat betekent uitstel voor onze geloofwaardigheid?"</w:t>
      </w:r>
    </w:p>
    <w:p>
      <w:pPr>
        <w:spacing w:after="140" w:line="300"/>
      </w:pPr>
      <w:r>
        <w:rPr>
          <w:rFonts w:ascii="Calibri" w:cs="Calibri" w:eastAsia="Calibri" w:hAnsi="Calibri"/>
          <w:b/>
          <w:bCs/>
          <w:sz w:val="22"/>
          <w:szCs w:val="22"/>
        </w:rPr>
        <w:t xml:space="preserve">Vooraf gedeeld</w:t>
      </w:r>
    </w:p>
    <w:p>
      <w:pPr>
        <w:pStyle w:val="ListParagraph"/>
        <w:numPr>
          <w:ilvl w:val="0"/>
          <w:numId w:val="1"/>
        </w:numPr>
        <w:spacing w:after="100" w:line="280"/>
      </w:pPr>
      <w:r>
        <w:rPr>
          <w:rFonts w:ascii="Calibri" w:cs="Calibri" w:eastAsia="Calibri" w:hAnsi="Calibri"/>
          <w:sz w:val="22"/>
          <w:szCs w:val="22"/>
        </w:rPr>
        <w:t xml:space="preserve">Het auditsignaal in samenvatting: een deelverzameling historische partnergegevens, afkomstig uit een fondsovername negen jaar geleden, is bij de systeemmigratie destijds onvolledig verwerkt. Naar eerste schatting raakt dit ongeveer 5% van de eerste go/no-go-groep.</w:t>
      </w:r>
    </w:p>
    <w:p>
      <w:pPr>
        <w:pStyle w:val="ListParagraph"/>
        <w:numPr>
          <w:ilvl w:val="0"/>
          <w:numId w:val="1"/>
        </w:numPr>
        <w:spacing w:after="100" w:line="280"/>
      </w:pPr>
      <w:r>
        <w:rPr>
          <w:rFonts w:ascii="Calibri" w:cs="Calibri" w:eastAsia="Calibri" w:hAnsi="Calibri"/>
          <w:sz w:val="22"/>
          <w:szCs w:val="22"/>
        </w:rPr>
        <w:t xml:space="preserve">De eerder vastgestelde KDE-risicobeoordeling (deel 25, §3) had deze specifieke databron als "gemiddeld risico" geclassificeerd — niet als hoogste prioriteit.</w:t>
      </w:r>
    </w:p>
    <w:p>
      <w:pPr>
        <w:pStyle w:val="ListParagraph"/>
        <w:numPr>
          <w:ilvl w:val="0"/>
          <w:numId w:val="1"/>
        </w:numPr>
        <w:spacing w:after="100" w:line="280"/>
      </w:pPr>
      <w:r>
        <w:rPr>
          <w:rFonts w:ascii="Calibri" w:cs="Calibri" w:eastAsia="Calibri" w:hAnsi="Calibri"/>
          <w:sz w:val="22"/>
          <w:szCs w:val="22"/>
        </w:rPr>
        <w:t xml:space="preserve">De go/no-go-datum voor de eerste groep staat over vier weken gepland, ruim vóór de wettelijke einddatum van 1 januari 2028.</w:t>
      </w:r>
    </w:p>
    <w:p>
      <w:pPr>
        <w:pStyle w:val="ListParagraph"/>
        <w:numPr>
          <w:ilvl w:val="0"/>
          <w:numId w:val="1"/>
        </w:numPr>
        <w:spacing w:after="100" w:line="280"/>
      </w:pPr>
      <w:r>
        <w:rPr>
          <w:rFonts w:ascii="Calibri" w:cs="Calibri" w:eastAsia="Calibri" w:hAnsi="Calibri"/>
          <w:sz w:val="22"/>
          <w:szCs w:val="22"/>
        </w:rPr>
        <w:t xml:space="preserve">Het bestuur draagt de formele go/no-go-bevoegdheid (deel 25, §6) en is zich bewust dat dit besluit, eenmaal uitgevoerd, vrijwel niet is terug te draaien (deel 25, §7).</w:t>
      </w:r>
    </w:p>
    <w:p>
      <w:pPr>
        <w:spacing w:after="140" w:line="300"/>
      </w:pPr>
      <w:r>
        <w:rPr>
          <w:rFonts w:ascii="Calibri" w:cs="Calibri" w:eastAsia="Calibri" w:hAnsi="Calibri"/>
          <w:b/>
          <w:bCs/>
          <w:sz w:val="22"/>
          <w:szCs w:val="22"/>
        </w:rPr>
        <w:t xml:space="preserve">Verzegeld — pas openen tijdens de simulatie</w:t>
      </w:r>
    </w:p>
    <w:p>
      <w:pPr>
        <w:spacing w:after="140" w:line="300"/>
      </w:pPr>
      <w:r>
        <w:rPr>
          <w:rFonts w:ascii="Calibri" w:cs="Calibri" w:eastAsia="Calibri" w:hAnsi="Calibri"/>
          <w:sz w:val="22"/>
          <w:szCs w:val="22"/>
        </w:rPr>
        <w:t xml:space="preserve">Vlak vóór deze bijeenkomst is bekend geworden dat de sociale partners (werkgevers- en werknemersvertegenwoordiging) de geplande go/no-go-datum al extern hebben aangekondigd aan hun achterban. Uitstel is dus niet alleen een interne planningskwestie: het roept vragen op naar buiten toe, en mogelijk reputatieschade. Breng dit gegeven op een zelfgekozen moment in het gesprek in — bijvoorbeeld als de discussie richting "gewoon uitstellen" neigt — en gebruik het om de andere rollen te toetsen op wat sunk cost-redenering is en wat een legitieme afweging (deel 26, §2-3).</w:t>
      </w:r>
    </w:p>
    <w:p>
      <w:pPr>
        <w:pStyle w:val="Heading2"/>
        <w:spacing w:after="120" w:before="200"/>
      </w:pPr>
      <w:r>
        <w:rPr>
          <w:rFonts w:ascii="Georgia" w:cs="Georgia" w:eastAsia="Georgia" w:hAnsi="Georgia"/>
          <w:b/>
          <w:bCs/>
          <w:color w:val="2563A8"/>
          <w:sz w:val="28"/>
          <w:szCs w:val="28"/>
        </w:rPr>
        <w:t xml:space="preserve">Rolkaart — DNB</w:t>
      </w:r>
    </w:p>
    <w:p>
      <w:pPr>
        <w:spacing w:after="140" w:line="300"/>
      </w:pPr>
      <w:r>
        <w:rPr>
          <w:rFonts w:ascii="Calibri" w:cs="Calibri" w:eastAsia="Calibri" w:hAnsi="Calibri"/>
          <w:b/>
          <w:bCs/>
          <w:sz w:val="22"/>
          <w:szCs w:val="22"/>
        </w:rPr>
        <w:t xml:space="preserve">Primaire vraag:</w:t>
      </w:r>
      <w:r>
        <w:rPr>
          <w:rFonts w:ascii="Calibri" w:cs="Calibri" w:eastAsia="Calibri" w:hAnsi="Calibri"/>
          <w:sz w:val="22"/>
          <w:szCs w:val="22"/>
        </w:rPr>
        <w:t xml:space="preserve"> "Hoe kon dit negen jaar onopgemerkt blijven, en is uw beheersing aantoonbaar genoeg om te garanderen dat dit zich niet herhaalt?"</w:t>
      </w:r>
    </w:p>
    <w:p>
      <w:pPr>
        <w:spacing w:after="140" w:line="300"/>
      </w:pPr>
      <w:r>
        <w:rPr>
          <w:rFonts w:ascii="Calibri" w:cs="Calibri" w:eastAsia="Calibri" w:hAnsi="Calibri"/>
          <w:b/>
          <w:bCs/>
          <w:sz w:val="22"/>
          <w:szCs w:val="22"/>
        </w:rPr>
        <w:t xml:space="preserve">Vooraf gedeeld</w:t>
      </w:r>
    </w:p>
    <w:p>
      <w:pPr>
        <w:pStyle w:val="ListParagraph"/>
        <w:numPr>
          <w:ilvl w:val="0"/>
          <w:numId w:val="1"/>
        </w:numPr>
        <w:spacing w:after="100" w:line="280"/>
      </w:pPr>
      <w:r>
        <w:rPr>
          <w:rFonts w:ascii="Calibri" w:cs="Calibri" w:eastAsia="Calibri" w:hAnsi="Calibri"/>
          <w:sz w:val="22"/>
          <w:szCs w:val="22"/>
        </w:rPr>
        <w:t xml:space="preserve">Meridiaan's implementatieplan, eerder bij DNB ingediend, bevat de KDE-risicobeoordeling (deel 25, §3) en een beschrijving van de derde-lijnsopzet (interne audit, deel 18, §4).</w:t>
      </w:r>
    </w:p>
    <w:p>
      <w:pPr>
        <w:pStyle w:val="ListParagraph"/>
        <w:numPr>
          <w:ilvl w:val="0"/>
          <w:numId w:val="1"/>
        </w:numPr>
        <w:spacing w:after="100" w:line="280"/>
      </w:pPr>
      <w:r>
        <w:rPr>
          <w:rFonts w:ascii="Calibri" w:cs="Calibri" w:eastAsia="Calibri" w:hAnsi="Calibri"/>
          <w:sz w:val="22"/>
          <w:szCs w:val="22"/>
        </w:rPr>
        <w:t xml:space="preserve">Standaardvragen die bij dit type melding altijd worden gesteld: hoe is de omvang vastgesteld, welke onafhankelijke toetsing heeft al plaatsgevonden, en welk scenario is doorgerekend voor de resterende periode tot de wettelijke deadline (deel 25, §5).</w:t>
      </w:r>
    </w:p>
    <w:p>
      <w:pPr>
        <w:pStyle w:val="ListParagraph"/>
        <w:numPr>
          <w:ilvl w:val="0"/>
          <w:numId w:val="1"/>
        </w:numPr>
        <w:spacing w:after="100" w:line="280"/>
      </w:pPr>
      <w:r>
        <w:rPr>
          <w:rFonts w:ascii="Calibri" w:cs="Calibri" w:eastAsia="Calibri" w:hAnsi="Calibri"/>
          <w:sz w:val="22"/>
          <w:szCs w:val="22"/>
        </w:rPr>
        <w:t xml:space="preserve">DNB werkt bij de pensioentransitie nauw samen met de AFM (deel 24, §2) en verwacht dat beide toezichthouders eenzelfde, consistent beeld krijgen.</w:t>
      </w:r>
    </w:p>
    <w:p>
      <w:pPr>
        <w:spacing w:after="140" w:line="300"/>
      </w:pPr>
      <w:r>
        <w:rPr>
          <w:rFonts w:ascii="Calibri" w:cs="Calibri" w:eastAsia="Calibri" w:hAnsi="Calibri"/>
          <w:b/>
          <w:bCs/>
          <w:sz w:val="22"/>
          <w:szCs w:val="22"/>
        </w:rPr>
        <w:t xml:space="preserve">Verzegeld — pas openen tijdens de simulatie</w:t>
      </w:r>
    </w:p>
    <w:p>
      <w:pPr>
        <w:spacing w:after="140" w:line="300"/>
      </w:pPr>
      <w:r>
        <w:rPr>
          <w:rFonts w:ascii="Calibri" w:cs="Calibri" w:eastAsia="Calibri" w:hAnsi="Calibri"/>
          <w:sz w:val="22"/>
          <w:szCs w:val="22"/>
        </w:rPr>
        <w:t xml:space="preserve">Via de reguliere, sectorbrede uitvraag (deel 24, §2) heeft DNB een signaal ontvangen dat een ander pensioenfonds recent een vergelijkbaar probleem trof bij een eveneens overgenomen deelnemersbestand — met een aanzienlijk grotere omvang dan aanvankelijk gemeld. Breng dit op een zelfgekozen moment in het gesprek in, en vraag expliciet: heeft Meridiaan structureel gecontroleerd of dit risico breder speelt dan de nu gemelde 5%, of is dit percentage vooral gebaseerd op aannames? Laat de SRO en het bestuur reageren op deze onzekerheid — het is een test van hoe zij omgaan met een risico waarvan de ware omvang nog niet vaststaat (deel 18, §2; deel 25, §3).</w:t>
      </w:r>
    </w:p>
    <w:p>
      <w:pPr>
        <w:pStyle w:val="Heading2"/>
        <w:spacing w:after="120" w:before="200"/>
      </w:pPr>
      <w:r>
        <w:rPr>
          <w:rFonts w:ascii="Georgia" w:cs="Georgia" w:eastAsia="Georgia" w:hAnsi="Georgia"/>
          <w:b/>
          <w:bCs/>
          <w:color w:val="2563A8"/>
          <w:sz w:val="28"/>
          <w:szCs w:val="28"/>
        </w:rPr>
        <w:t xml:space="preserve">Rolkaart — AFM</w:t>
      </w:r>
    </w:p>
    <w:p>
      <w:pPr>
        <w:spacing w:after="140" w:line="300"/>
      </w:pPr>
      <w:r>
        <w:rPr>
          <w:rFonts w:ascii="Calibri" w:cs="Calibri" w:eastAsia="Calibri" w:hAnsi="Calibri"/>
          <w:b/>
          <w:bCs/>
          <w:sz w:val="22"/>
          <w:szCs w:val="22"/>
        </w:rPr>
        <w:t xml:space="preserve">Primaire vraag:</w:t>
      </w:r>
      <w:r>
        <w:rPr>
          <w:rFonts w:ascii="Calibri" w:cs="Calibri" w:eastAsia="Calibri" w:hAnsi="Calibri"/>
          <w:sz w:val="22"/>
          <w:szCs w:val="22"/>
        </w:rPr>
        <w:t xml:space="preserve"> "Hoe en wanneer informeert u de geraakte deelnemers, en is dat eerlijk en tijdig?"</w:t>
      </w:r>
    </w:p>
    <w:p>
      <w:pPr>
        <w:spacing w:after="140" w:line="300"/>
      </w:pPr>
      <w:r>
        <w:rPr>
          <w:rFonts w:ascii="Calibri" w:cs="Calibri" w:eastAsia="Calibri" w:hAnsi="Calibri"/>
          <w:b/>
          <w:bCs/>
          <w:sz w:val="22"/>
          <w:szCs w:val="22"/>
        </w:rPr>
        <w:t xml:space="preserve">Vooraf gedeeld</w:t>
      </w:r>
    </w:p>
    <w:p>
      <w:pPr>
        <w:pStyle w:val="ListParagraph"/>
        <w:numPr>
          <w:ilvl w:val="0"/>
          <w:numId w:val="1"/>
        </w:numPr>
        <w:spacing w:after="100" w:line="280"/>
      </w:pPr>
      <w:r>
        <w:rPr>
          <w:rFonts w:ascii="Calibri" w:cs="Calibri" w:eastAsia="Calibri" w:hAnsi="Calibri"/>
          <w:sz w:val="22"/>
          <w:szCs w:val="22"/>
        </w:rPr>
        <w:t xml:space="preserve">AFM toetst het communicatieplan van de Stelselovergang op correctheid, duidelijkheid, tijdigheid en evenwichtigheid (deel 24, §2).</w:t>
      </w:r>
    </w:p>
    <w:p>
      <w:pPr>
        <w:pStyle w:val="ListParagraph"/>
        <w:numPr>
          <w:ilvl w:val="0"/>
          <w:numId w:val="1"/>
        </w:numPr>
        <w:spacing w:after="100" w:line="280"/>
      </w:pPr>
      <w:r>
        <w:rPr>
          <w:rFonts w:ascii="Calibri" w:cs="Calibri" w:eastAsia="Calibri" w:hAnsi="Calibri"/>
          <w:sz w:val="22"/>
          <w:szCs w:val="22"/>
        </w:rPr>
        <w:t xml:space="preserve">Standaardvragen: wanneer worden de geraakte deelnemers concreet geïnformeerd, in welke bewoordingen, en wat kunnen zij zelf doen als zij denken dat hun gegevens onjuist zijn?</w:t>
      </w:r>
    </w:p>
    <w:p>
      <w:pPr>
        <w:pStyle w:val="ListParagraph"/>
        <w:numPr>
          <w:ilvl w:val="0"/>
          <w:numId w:val="1"/>
        </w:numPr>
        <w:spacing w:after="100" w:line="280"/>
      </w:pPr>
      <w:r>
        <w:rPr>
          <w:rFonts w:ascii="Calibri" w:cs="Calibri" w:eastAsia="Calibri" w:hAnsi="Calibri"/>
          <w:sz w:val="22"/>
          <w:szCs w:val="22"/>
        </w:rPr>
        <w:t xml:space="preserve">AFM verwacht dat een eventuele vertraging van het besluit ook wordt vertaald naar wat dit voor individuele deelnemers in de praktijk betekent — niet alleen naar de wettelijke termijn.</w:t>
      </w:r>
    </w:p>
    <w:p>
      <w:pPr>
        <w:spacing w:after="140" w:line="300"/>
      </w:pPr>
      <w:r>
        <w:rPr>
          <w:rFonts w:ascii="Calibri" w:cs="Calibri" w:eastAsia="Calibri" w:hAnsi="Calibri"/>
          <w:b/>
          <w:bCs/>
          <w:sz w:val="22"/>
          <w:szCs w:val="22"/>
        </w:rPr>
        <w:t xml:space="preserve">Verzegeld — pas openen tijdens de simulatie</w:t>
      </w:r>
    </w:p>
    <w:p>
      <w:pPr>
        <w:spacing w:after="140" w:line="300"/>
      </w:pPr>
      <w:r>
        <w:rPr>
          <w:rFonts w:ascii="Calibri" w:cs="Calibri" w:eastAsia="Calibri" w:hAnsi="Calibri"/>
          <w:sz w:val="22"/>
          <w:szCs w:val="22"/>
        </w:rPr>
        <w:t xml:space="preserve">De AFM heeft, via het reguliere klachtenkanaal, in de afgelopen weken al een klein aantal meldingen ontvangen van deelnemers uit precies de groep die nu in de audit naar voren komt — zij hadden zelf al onregelmatigheden opgemerkt in hun voorlopige pensioenoverzicht. Breng dit op een zelfgekozen moment in het gesprek in, met de vraag: waarom bereikten deze signalen de AFM via deelnemers, vóórdat Meridiaan dit zelf intern had vastgesteld en gemeld? Test hiermee of bestuur en SRO dit als toeval afdoen, of als een aanwijzing dat de eigen detectie trager was dan gewenst.</w:t>
      </w:r>
    </w:p>
    <w:p>
      <w:pPr>
        <w:pStyle w:val="Heading2"/>
        <w:spacing w:after="120" w:before="200"/>
      </w:pPr>
      <w:r>
        <w:rPr>
          <w:rFonts w:ascii="Georgia" w:cs="Georgia" w:eastAsia="Georgia" w:hAnsi="Georgia"/>
          <w:b/>
          <w:bCs/>
          <w:color w:val="2563A8"/>
          <w:sz w:val="28"/>
          <w:szCs w:val="28"/>
        </w:rPr>
        <w:t xml:space="preserve">Rolkaart — SRO (Senior Responsible Owner)</w:t>
      </w:r>
    </w:p>
    <w:p>
      <w:pPr>
        <w:spacing w:after="140" w:line="300"/>
      </w:pPr>
      <w:r>
        <w:rPr>
          <w:rFonts w:ascii="Calibri" w:cs="Calibri" w:eastAsia="Calibri" w:hAnsi="Calibri"/>
          <w:b/>
          <w:bCs/>
          <w:sz w:val="22"/>
          <w:szCs w:val="22"/>
        </w:rPr>
        <w:t xml:space="preserve">Rol:</w:t>
      </w:r>
      <w:r>
        <w:rPr>
          <w:rFonts w:ascii="Calibri" w:cs="Calibri" w:eastAsia="Calibri" w:hAnsi="Calibri"/>
          <w:sz w:val="22"/>
          <w:szCs w:val="22"/>
        </w:rPr>
        <w:t xml:space="preserve"> eindverantwoordelijk voor het programma Stelselovergang (niveau 2, deel 14, §2), in niveau 3 ook aangeduid als programmadirecteur. Opent de simulatie met een korte schets van de bevinding en een eerste richting voor een advies (reader §5).</w:t>
      </w:r>
    </w:p>
    <w:p>
      <w:pPr>
        <w:spacing w:after="140" w:line="300"/>
      </w:pPr>
      <w:r>
        <w:rPr>
          <w:rFonts w:ascii="Calibri" w:cs="Calibri" w:eastAsia="Calibri" w:hAnsi="Calibri"/>
          <w:b/>
          <w:bCs/>
          <w:sz w:val="22"/>
          <w:szCs w:val="22"/>
        </w:rPr>
        <w:t xml:space="preserve">Vooraf gedeeld</w:t>
      </w:r>
    </w:p>
    <w:p>
      <w:pPr>
        <w:pStyle w:val="ListParagraph"/>
        <w:numPr>
          <w:ilvl w:val="0"/>
          <w:numId w:val="1"/>
        </w:numPr>
        <w:spacing w:after="100" w:line="280"/>
      </w:pPr>
      <w:r>
        <w:rPr>
          <w:rFonts w:ascii="Calibri" w:cs="Calibri" w:eastAsia="Calibri" w:hAnsi="Calibri"/>
          <w:sz w:val="22"/>
          <w:szCs w:val="22"/>
        </w:rPr>
        <w:t xml:space="preserve">Het volledige auditrapport: omvang (circa 5% van de eerste go/no-go-groep), oorzaak (onvolledige verwerking bij een migratie negen jaar geleden), en de bevestiging dat de overige circa 95% van de groep gecontroleerd en akkoord bevonden is.</w:t>
      </w:r>
    </w:p>
    <w:p>
      <w:pPr>
        <w:pStyle w:val="ListParagraph"/>
        <w:numPr>
          <w:ilvl w:val="0"/>
          <w:numId w:val="1"/>
        </w:numPr>
        <w:spacing w:after="100" w:line="280"/>
      </w:pPr>
      <w:r>
        <w:rPr>
          <w:rFonts w:ascii="Calibri" w:cs="Calibri" w:eastAsia="Calibri" w:hAnsi="Calibri"/>
          <w:sz w:val="22"/>
          <w:szCs w:val="22"/>
        </w:rPr>
        <w:t xml:space="preserve">De eerder vastgestelde KDE-risicobeoordeling voor deze databron (deel 25, §3): "gemiddeld risico" — een classificatie die met de kennis van nu wellicht had moeten worden bijgesteld.</w:t>
      </w:r>
    </w:p>
    <w:p>
      <w:pPr>
        <w:pStyle w:val="ListParagraph"/>
        <w:numPr>
          <w:ilvl w:val="0"/>
          <w:numId w:val="1"/>
        </w:numPr>
        <w:spacing w:after="100" w:line="280"/>
      </w:pPr>
      <w:r>
        <w:rPr>
          <w:rFonts w:ascii="Calibri" w:cs="Calibri" w:eastAsia="Calibri" w:hAnsi="Calibri"/>
          <w:sz w:val="22"/>
          <w:szCs w:val="22"/>
        </w:rPr>
        <w:t xml:space="preserve">Een concept-advies, opgebouwd langs de vier elementen uit deel 26 (§4): erkende bijdrage (het overgrote deel van de voorbereiding staat), relatieve afweging (doorgaan voor de volledige groep versus een gefaseerde aanpak), lot van het werk (wat blijft bruikbaar), en de erkenning dat het uiteindelijke besluit bij het bestuur ligt.</w:t>
      </w:r>
    </w:p>
    <w:p>
      <w:pPr>
        <w:spacing w:after="140" w:line="300"/>
      </w:pPr>
      <w:r>
        <w:rPr>
          <w:rFonts w:ascii="Calibri" w:cs="Calibri" w:eastAsia="Calibri" w:hAnsi="Calibri"/>
          <w:b/>
          <w:bCs/>
          <w:sz w:val="22"/>
          <w:szCs w:val="22"/>
        </w:rPr>
        <w:t xml:space="preserve">Verzegeld — pas openen tijdens de simulatie</w:t>
      </w:r>
    </w:p>
    <w:p>
      <w:pPr>
        <w:spacing w:after="140" w:line="300"/>
      </w:pPr>
      <w:r>
        <w:rPr>
          <w:rFonts w:ascii="Calibri" w:cs="Calibri" w:eastAsia="Calibri" w:hAnsi="Calibri"/>
          <w:sz w:val="22"/>
          <w:szCs w:val="22"/>
        </w:rPr>
        <w:t xml:space="preserve">Vlak vóór of tijdens de bijeenkomst ontvang je, via een kort bericht van de data-analist, een nieuw signaal: de onderliggende fout in de systeemmigratie raakt mogelijk ook een tweede, nog niet onderzocht deelbestand (bijvoorbeeld gegevens van ex-partners na echtscheiding), waarvan de omvang volstrekt onzeker is. Dit is nog niet bevestigd. Jij moet, live in het gesprek, beslissen: dit direct en transparant melden — ook al is het onbevestigd en ondermijnt het mogelijk je eigen advies — of wachten tot er zekerheid is? Pas de DNB-toets toe (deel 27, §4): zou het weglaten van dit signaal overeind blijven als DNB het achteraf zelf ontdekte? Dit is het scherpste moment van je eigen rol in de simulatie.</w:t>
      </w:r>
    </w:p>
    <w:p>
      <w:pPr>
        <w:pStyle w:val="Heading2"/>
        <w:spacing w:after="120" w:before="200"/>
      </w:pPr>
      <w:r>
        <w:rPr>
          <w:rFonts w:ascii="Georgia" w:cs="Georgia" w:eastAsia="Georgia" w:hAnsi="Georgia"/>
          <w:b/>
          <w:bCs/>
          <w:color w:val="2563A8"/>
          <w:sz w:val="28"/>
          <w:szCs w:val="28"/>
        </w:rPr>
        <w:t xml:space="preserve">Dagdeel B — De boardsimulatie</w:t>
      </w:r>
    </w:p>
    <w:p>
      <w:pPr>
        <w:pStyle w:val="Heading2"/>
        <w:spacing w:after="120" w:before="200"/>
      </w:pPr>
      <w:r>
        <w:rPr>
          <w:rFonts w:ascii="Georgia" w:cs="Georgia" w:eastAsia="Georgia" w:hAnsi="Georgia"/>
          <w:b/>
          <w:bCs/>
          <w:color w:val="2563A8"/>
          <w:sz w:val="28"/>
          <w:szCs w:val="28"/>
        </w:rPr>
        <w:t xml:space="preserve">Opdracht 30.5 — De simulatie (groepen van vier, circa 35 minuten per groep)</w:t>
      </w:r>
    </w:p>
    <w:p>
      <w:pPr>
        <w:spacing w:after="140" w:line="300"/>
      </w:pPr>
      <w:r>
        <w:rPr>
          <w:rFonts w:ascii="Calibri" w:cs="Calibri" w:eastAsia="Calibri" w:hAnsi="Calibri"/>
          <w:sz w:val="22"/>
          <w:szCs w:val="22"/>
        </w:rPr>
        <w:t xml:space="preserve">Speel de simulatie zoals beschreven in reader §5: opening door de SRO, bevraging door bestuur/DNB/AFM, afsluitend besluitmoment door het bestuur. Andere groepen kijken toe en noteren, aan de hand van de rubric hieronder, wat overtuigde en wat niet.</w:t>
      </w:r>
    </w:p>
    <w:p>
      <w:pPr>
        <w:spacing w:after="140" w:line="300"/>
      </w:pPr>
      <w:r>
        <w:rPr>
          <w:rFonts w:ascii="Calibri" w:cs="Calibri" w:eastAsia="Calibri" w:hAnsi="Calibri"/>
          <w:sz w:val="22"/>
          <w:szCs w:val="22"/>
        </w:rPr>
        <w:t xml:space="preserve">Na afloop: drie minuten peer-feedback per groep, vanuit elk van de vier rollen — wat werkte, wat zou u anders doen.</w:t>
      </w:r>
    </w:p>
    <w:p>
      <w:pPr>
        <w:pStyle w:val="Heading2"/>
        <w:spacing w:after="120" w:before="200"/>
      </w:pPr>
      <w:r>
        <w:rPr>
          <w:rFonts w:ascii="Georgia" w:cs="Georgia" w:eastAsia="Georgia" w:hAnsi="Georgia"/>
          <w:b/>
          <w:bCs/>
          <w:color w:val="2563A8"/>
          <w:sz w:val="28"/>
          <w:szCs w:val="28"/>
        </w:rPr>
        <w:t xml:space="preserve">Opdracht 30.6 — Slotreflectie (individueel, 20 min, na alle simulaties)</w:t>
      </w:r>
    </w:p>
    <w:p>
      <w:pPr>
        <w:spacing w:after="140" w:line="300"/>
      </w:pPr>
      <w:r>
        <w:rPr>
          <w:rFonts w:ascii="Calibri" w:cs="Calibri" w:eastAsia="Calibri" w:hAnsi="Calibri"/>
          <w:sz w:val="22"/>
          <w:szCs w:val="22"/>
        </w:rPr>
        <w:t xml:space="preserve">Schrijf, als afsluiting van de hele cursus, een korte reflectie (maximaal één A4):</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Wat was uw sterkste moment in de masterproef, en waarom?</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Wat zou u, terugkijkend, anders aanpakken?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Gebruik de tabel uit reader §7 (de zeven bevindingen uit deel 1): welke bevinding herkent u het duidelijkst terug in uw eigen optreden vandaag — en welke het minst overtuigend?</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Hoe kijkt u terug op de ontwikkeling van uw eigen vaardigheid door de drie niveaus heen, van de herstart van WGP 2.0 (niveau 1, deel 1) tot de boardsimulatie van vandaag?</w:t>
      </w:r>
    </w:p>
    <w:p>
      <w:pPr>
        <w:pStyle w:val="Heading2"/>
        <w:spacing w:after="120" w:before="200"/>
      </w:pPr>
      <w:r>
        <w:rPr>
          <w:rFonts w:ascii="Georgia" w:cs="Georgia" w:eastAsia="Georgia" w:hAnsi="Georgia"/>
          <w:b/>
          <w:bCs/>
          <w:color w:val="2563A8"/>
          <w:sz w:val="28"/>
          <w:szCs w:val="28"/>
        </w:rPr>
        <w:t xml:space="preserve">Beoordelingsrubric (volledige cursus, sluitstuk)</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Criterium</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Onvoldoende</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Voldoende</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Sterk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 Technische correctheid PRINCE2/MSP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Concepten onjuist of op het verkeerde niveau toegepast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Correct toegepast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Correct én vlot toegepast, ook onder tijdsdruk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 Registerwisseling tussen de vier rollen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Feiten verschuiven tussen rollen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Feiten blijven grotendeels consistent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Feiten identiek, nadruk overtuigend afgestemd per rol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 Geaggregeerd risico en onomkeerbaarheid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Niet herkend of gebagatelliseerd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Herkend en correct benoemd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Herkend, met concrete implicaties voor het advies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 Kwaliteit van het stop-/aanpassingsadvies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Elementen ontbreken of zijn vaag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Vier elementen (deel 26) herkenbaar aanwezig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Vier elementen scherp en overtuigend uitgewerkt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 Ethische standvastigheid onder druk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Wijkt uit onder druk, verzwijgt onzekerheid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Houdt stand, benoemt onzekerheid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Houdt stand onder gecombineerde druk van meerdere rollen tegelijk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 Besluitvaardigheid en verdediging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Ontwijkend, geen duidelijke positie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Neemt een positie in en verdedigt die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Besluitvaardig, anticipeert op vervolgvragen</w:t>
            </w:r>
          </w:p>
        </w:tc>
      </w:tr>
    </w:tbl>
    <w:p>
      <w:pPr>
        <w:spacing w:after="140" w:line="300"/>
      </w:pPr>
      <w:r>
        <w:rPr>
          <w:rFonts w:ascii="Calibri" w:cs="Calibri" w:eastAsia="Calibri" w:hAnsi="Calibri"/>
          <w:sz w:val="22"/>
          <w:szCs w:val="22"/>
        </w:rPr>
        <w:t xml:space="preserve">Slagen voor de masterproef: minimaal "voldoende" op alle zes criteria.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30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2026-08-17T08:35:35.905Z</dcterms:created>
  <dcterms:modified xsi:type="dcterms:W3CDTF">2026-08-17T08:35:35.905Z</dcterms:modified>
</cp:coreProperties>
</file>

<file path=docProps/custom.xml><?xml version="1.0" encoding="utf-8"?>
<Properties xmlns="http://schemas.openxmlformats.org/officeDocument/2006/custom-properties" xmlns:vt="http://schemas.openxmlformats.org/officeDocument/2006/docPropsVTypes"/>
</file>