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Project- en Programmamanagement — Toolbijlage</w:t>
      </w:r>
    </w:p>
    <w:p>
      <w:pPr>
        <w:spacing w:after="300"/>
      </w:pPr>
      <w:r>
        <w:rPr>
          <w:rFonts w:ascii="Calibri" w:cs="Calibri" w:eastAsia="Calibri" w:hAnsi="Calibri"/>
          <w:i/>
          <w:iCs/>
          <w:color w:val="2563A8"/>
          <w:sz w:val="22"/>
          <w:szCs w:val="22"/>
        </w:rPr>
        <w:t xml:space="preserve">Toolbijlage · Project- en Programmamanagement</w:t>
      </w:r>
    </w:p>
    <w:p>
      <w:pPr>
        <w:pStyle w:val="Heading2"/>
        <w:spacing w:after="120" w:before="200"/>
      </w:pPr>
      <w:r>
        <w:rPr>
          <w:rFonts w:ascii="Georgia" w:cs="Georgia" w:eastAsia="Georgia" w:hAnsi="Georgia"/>
          <w:b/>
          <w:bCs/>
          <w:color w:val="2563A8"/>
          <w:sz w:val="28"/>
          <w:szCs w:val="28"/>
        </w:rPr>
        <w:t xml:space="preserve">OpenProject-referentiemateriaal</w:t>
      </w:r>
    </w:p>
    <w:p>
      <w:pPr>
        <w:spacing w:after="140" w:line="300"/>
      </w:pPr>
      <w:r>
        <w:rPr>
          <w:rFonts w:ascii="Calibri" w:cs="Calibri" w:eastAsia="Calibri" w:hAnsi="Calibri"/>
          <w:b/>
          <w:bCs/>
          <w:sz w:val="22"/>
          <w:szCs w:val="22"/>
        </w:rPr>
        <w:t xml:space="preserve">Positionering.</w:t>
      </w:r>
      <w:r>
        <w:rPr>
          <w:rFonts w:ascii="Calibri" w:cs="Calibri" w:eastAsia="Calibri" w:hAnsi="Calibri"/>
          <w:sz w:val="22"/>
          <w:szCs w:val="22"/>
        </w:rPr>
        <w:t xml:space="preserve"> Deze cursus is toolneutraal opgezet: geen enkel deel veronderstelt dat u met een specifiek pakket werkt. PRINCE2, MSP en IPMA zijn methoden en denkkaders, geen softwarekeuzes — en de examens toetsen die methoden, niet een tool. Waar het nuttig is om een begrip (Product Breakdown Structure, risicoregister, tranche) zichtbaar te maken in werkende software, kiest deze bijlage </w:t>
      </w:r>
      <w:r>
        <w:rPr>
          <w:rFonts w:ascii="Calibri" w:cs="Calibri" w:eastAsia="Calibri" w:hAnsi="Calibri"/>
          <w:b/>
          <w:bCs/>
          <w:sz w:val="22"/>
          <w:szCs w:val="22"/>
        </w:rPr>
        <w:t xml:space="preserve">OpenProject</w:t>
      </w:r>
      <w:r>
        <w:rPr>
          <w:rFonts w:ascii="Calibri" w:cs="Calibri" w:eastAsia="Calibri" w:hAnsi="Calibri"/>
          <w:sz w:val="22"/>
          <w:szCs w:val="22"/>
        </w:rPr>
        <w:t xml:space="preserve"> als concreet, gratis en open-source referentiepunt — geen vereiste. OpenProject bundelt hier alle klikpaden en versiegebonden verwijzingen die door de dertig delen heen naar "Toolbijlage" verwezen, zodat de inhoudelijke delen zelf vrij blijven van schermafbeeldingen en menupaden die met elke software-update verouderen. Bijgewerkt voor OpenProject 14.x (Community Edition); controleer bij afwijkende versies het menupad zelf — de begrippen en werkwijze veranderen zelden, de exacte menu-indeling soms wel.</w:t>
      </w:r>
    </w:p>
    <w:p>
      <w:pPr>
        <w:spacing w:after="140" w:line="300"/>
      </w:pPr>
      <w:r>
        <w:rPr>
          <w:rFonts w:ascii="Calibri" w:cs="Calibri" w:eastAsia="Calibri" w:hAnsi="Calibri"/>
          <w:sz w:val="22"/>
          <w:szCs w:val="22"/>
        </w:rPr>
        <w:t xml:space="preserve">In de praktijk werkt een aanzienlijk deel van de organisaties waar deze cursus wordt gegeven met Jira of Azure DevOps in plaats van OpenProject. Vanaf deel 16 (PRINCE2 Agile en hybride levering) en deel 17 (planning op programmaschaal) bevat deze bijlage daarom ook korte klikpaden voor die twee pakketten — geen volledige tweede handleiding, maar de belangrijkste equivalenten, zodat de vertaalslag van cursusbegrip naar eigen tool in elke omgeving te maken is.</w:t>
      </w:r>
    </w:p>
    <w:p>
      <w:pPr>
        <w:pStyle w:val="Heading2"/>
        <w:spacing w:after="120" w:before="200"/>
      </w:pPr>
      <w:r>
        <w:rPr>
          <w:rFonts w:ascii="Georgia" w:cs="Georgia" w:eastAsia="Georgia" w:hAnsi="Georgia"/>
          <w:b/>
          <w:bCs/>
          <w:color w:val="2563A8"/>
          <w:sz w:val="28"/>
          <w:szCs w:val="28"/>
        </w:rPr>
        <w:t xml:space="preserve">1. OpenProject installeren en toegang</w:t>
      </w:r>
    </w:p>
    <w:p>
      <w:pPr>
        <w:spacing w:after="140" w:line="300"/>
      </w:pPr>
      <w:r>
        <w:rPr>
          <w:rFonts w:ascii="Calibri" w:cs="Calibri" w:eastAsia="Calibri" w:hAnsi="Calibri"/>
          <w:sz w:val="22"/>
          <w:szCs w:val="22"/>
        </w:rPr>
        <w:t xml:space="preserve">OpenProject is gratis, open-source projectmanagementsoftware, uitgegeven als </w:t>
      </w:r>
      <w:r>
        <w:rPr>
          <w:rFonts w:ascii="Calibri" w:cs="Calibri" w:eastAsia="Calibri" w:hAnsi="Calibri"/>
          <w:b/>
          <w:bCs/>
          <w:sz w:val="22"/>
          <w:szCs w:val="22"/>
        </w:rPr>
        <w:t xml:space="preserve">Community Edition</w:t>
      </w:r>
      <w:r>
        <w:rPr>
          <w:rFonts w:ascii="Calibri" w:cs="Calibri" w:eastAsia="Calibri" w:hAnsi="Calibri"/>
          <w:sz w:val="22"/>
          <w:szCs w:val="22"/>
        </w:rPr>
        <w:t xml:space="preserve"> (self-hosted, geen licentiesleutel nodig) en als betaalde Enterprise-variant (cloud of on-premises, met extra functies zoals geavanceerde rapportages en agile-portfolioweergaven).</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sz w:val="22"/>
          <w:szCs w:val="22"/>
        </w:rPr>
        <w:t xml:space="preserve">Voor kennismaking zonder eigen installatie: gebruik de openbare demo-omgeving op de OpenProject-website, of vraag een gratis Community-cloudtrial aan.</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sz w:val="22"/>
          <w:szCs w:val="22"/>
        </w:rPr>
        <w:t xml:space="preserve">Voor een eigen (les- of proef)omgeving: installeer de Community Edition via Docker (het aanbevolen pad) op een eigen server of lokale machine — geen licentiesleutel of registratie vereist.</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sz w:val="22"/>
          <w:szCs w:val="22"/>
        </w:rPr>
        <w:t xml:space="preserve">Bij eerste aanmelding: maak een beheerdersaccount aan en stel de standaardtaal in op Nederlands of Engels naar voorkeur; deze bijlage gebruikt de Nederlandstalige menunamen waar die bestaan, met de Engelse term erbij waar de vertaling ongebruikelijk is.</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sz w:val="22"/>
          <w:szCs w:val="22"/>
        </w:rPr>
        <w:t xml:space="preserve">Controleer via </w:t>
      </w:r>
      <w:r>
        <w:rPr>
          <w:rFonts w:ascii="Calibri" w:cs="Calibri" w:eastAsia="Calibri" w:hAnsi="Calibri"/>
          <w:b/>
          <w:bCs/>
          <w:sz w:val="22"/>
          <w:szCs w:val="22"/>
        </w:rPr>
        <w:t xml:space="preserve">Beheer → Informatie</w:t>
      </w:r>
      <w:r>
        <w:rPr>
          <w:rFonts w:ascii="Calibri" w:cs="Calibri" w:eastAsia="Calibri" w:hAnsi="Calibri"/>
          <w:sz w:val="22"/>
          <w:szCs w:val="22"/>
        </w:rPr>
        <w:t xml:space="preserve"> de geïnstalleerde versie; deze bijlage is bijgewerkt voor de 14.x-reeks.</w:t>
      </w:r>
    </w:p>
    <w:p>
      <w:pPr>
        <w:pStyle w:val="Heading2"/>
        <w:spacing w:after="120" w:before="200"/>
      </w:pPr>
      <w:r>
        <w:rPr>
          <w:rFonts w:ascii="Georgia" w:cs="Georgia" w:eastAsia="Georgia" w:hAnsi="Georgia"/>
          <w:b/>
          <w:bCs/>
          <w:color w:val="2563A8"/>
          <w:sz w:val="28"/>
          <w:szCs w:val="28"/>
        </w:rPr>
        <w:t xml:space="preserve">2. Een nieuw project aanmaken</w:t>
      </w:r>
    </w:p>
    <w:p>
      <w:pPr>
        <w:pStyle w:val="ListParagraph"/>
        <w:numPr>
          <w:ilvl w:val="0"/>
          <w:numId w:val="1"/>
        </w:numPr>
        <w:spacing w:after="100" w:line="280"/>
      </w:pPr>
      <w:r>
        <w:rPr>
          <w:rFonts w:ascii="Calibri" w:cs="Calibri" w:eastAsia="Calibri" w:hAnsi="Calibri"/>
          <w:b/>
          <w:bCs/>
          <w:sz w:val="22"/>
          <w:szCs w:val="22"/>
        </w:rPr>
        <w:t xml:space="preserve">Projecten → Project openen</w:t>
      </w:r>
      <w:r>
        <w:rPr>
          <w:rFonts w:ascii="Calibri" w:cs="Calibri" w:eastAsia="Calibri" w:hAnsi="Calibri"/>
          <w:sz w:val="22"/>
          <w:szCs w:val="22"/>
        </w:rPr>
        <w:t xml:space="preserve"> (of het plusje naast "Projecten" in de linkerbalk) opent het formulier voor een nieuw project. Geef het project een herkenbare naam (bijvoorbeeld "WGP 2.0 — herstart" voor niveau 1-oefeningen) en een korte identifier.</w:t>
      </w:r>
    </w:p>
    <w:p>
      <w:pPr>
        <w:pStyle w:val="ListParagraph"/>
        <w:numPr>
          <w:ilvl w:val="0"/>
          <w:numId w:val="1"/>
        </w:numPr>
        <w:spacing w:after="100" w:line="280"/>
      </w:pPr>
      <w:r>
        <w:rPr>
          <w:rFonts w:ascii="Calibri" w:cs="Calibri" w:eastAsia="Calibri" w:hAnsi="Calibri"/>
          <w:sz w:val="22"/>
          <w:szCs w:val="22"/>
        </w:rPr>
        <w:t xml:space="preserve">Kies bij het aanmaken een </w:t>
      </w:r>
      <w:r>
        <w:rPr>
          <w:rFonts w:ascii="Calibri" w:cs="Calibri" w:eastAsia="Calibri" w:hAnsi="Calibri"/>
          <w:b/>
          <w:bCs/>
          <w:sz w:val="22"/>
          <w:szCs w:val="22"/>
        </w:rPr>
        <w:t xml:space="preserve">projectsjabloon</w:t>
      </w:r>
      <w:r>
        <w:rPr>
          <w:rFonts w:ascii="Calibri" w:cs="Calibri" w:eastAsia="Calibri" w:hAnsi="Calibri"/>
          <w:sz w:val="22"/>
          <w:szCs w:val="22"/>
        </w:rPr>
        <w:t xml:space="preserve"> met de modules die voor deze cursus relevant zijn: Werkpakketten, Gantt-diagram, Roadmap, Backlogs (voor deel 16) en Wiki. Modules kunnen later alsnog worden aan- of uitgezet via </w:t>
      </w:r>
      <w:r>
        <w:rPr>
          <w:rFonts w:ascii="Calibri" w:cs="Calibri" w:eastAsia="Calibri" w:hAnsi="Calibri"/>
          <w:b/>
          <w:bCs/>
          <w:sz w:val="22"/>
          <w:szCs w:val="22"/>
        </w:rPr>
        <w:t xml:space="preserve">Projectinstellingen → Modules</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sz w:val="22"/>
          <w:szCs w:val="22"/>
        </w:rPr>
        <w:t xml:space="preserve">Voor een programma met meerdere onderliggende projecten (niveau 2, deel 13-15): maak eerst het programma als </w:t>
      </w:r>
      <w:r>
        <w:rPr>
          <w:rFonts w:ascii="Calibri" w:cs="Calibri" w:eastAsia="Calibri" w:hAnsi="Calibri"/>
          <w:b/>
          <w:bCs/>
          <w:sz w:val="22"/>
          <w:szCs w:val="22"/>
        </w:rPr>
        <w:t xml:space="preserve">bovenliggend project</w:t>
      </w:r>
      <w:r>
        <w:rPr>
          <w:rFonts w:ascii="Calibri" w:cs="Calibri" w:eastAsia="Calibri" w:hAnsi="Calibri"/>
          <w:sz w:val="22"/>
          <w:szCs w:val="22"/>
        </w:rPr>
        <w:t xml:space="preserve"> aan, en koppel de afzonderlijke projecten daaraan via het veld "Bovenliggend project" bij het aanmaken. OpenProject's projecthiërarchie is de directe drager van de programma/project-relatie uit deel 14: een programma "Mutatieplatform" met vijf onderliggende projecten (WGP 2.0, kernsysteemkoppeling, interne automatisering, trainingsprogramma, et cetera).</w:t>
      </w:r>
    </w:p>
    <w:p>
      <w:pPr>
        <w:pStyle w:val="Heading2"/>
        <w:spacing w:after="120" w:before="200"/>
      </w:pPr>
      <w:r>
        <w:rPr>
          <w:rFonts w:ascii="Georgia" w:cs="Georgia" w:eastAsia="Georgia" w:hAnsi="Georgia"/>
          <w:b/>
          <w:bCs/>
          <w:color w:val="2563A8"/>
          <w:sz w:val="28"/>
          <w:szCs w:val="28"/>
        </w:rPr>
        <w:t xml:space="preserve">3. Cursusbegrip → OpenProject-menu</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Cursusbegrip (deel)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OpenProject-onderdeel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Waar te vinden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 Product Description (niveau 1, deel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Projectbeschrijving / Wiki-pagina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Projectinstellingen → Informatie (korte omschrijving), of een eigen Wiki-pagina voor de volledige tekst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 Breakdown Structure — PBS (niveau 1, deel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Werkpakkettenlijst, hiërarchisch</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Werkpakketten-module → nieuwe werkpakketten aanmaken met "Bovenliggend werkpakket"; groepsknopen als type Fase/Deliverable, laagste niveau als Taak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 Flow Diagram — PFD (niveau 1, deel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Werkpakketrelaties + Gantt-diagram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 openen → tabblad Relaties → "Voorafgegaan door" / "Gevolgd door"; visueel in de Gantt-module als afhankelijkheidspijlen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 (niveau 1, deel 4 en 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 (native concept)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Werkpakketten-module; het OpenProject-begrip is letterlijk hetzelfde woord als het PRINCE2-begrip, wat de vertaalslag ongebruikelijk direct maakt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Kwaliteitscriteria / kwaliteitsregister (niveau 1, deel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Aangepast veld + gefilterde weergave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Beheer → Aangepaste velden: veld "Acceptatiecriteria" en "Kwaliteitsstatus" toevoegen aan het werkpakkettype; een opgeslagen, gefilterde weergave op deze velden fungeert als kwaliteitsregister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Risicoregister (niveau 1, deel 6; niveau 2, deel 13 en 18)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Eigen werkpakkettype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Beheer → Typen → nieuw type "Risico" met aangepaste velden (kans, impact, respons, risico-eigenaar); gefilterde weergave per project of programma toont het register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Issue-register (niveau 1, deel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Werkpakkettype "Issue" of "Bug"/"Verzoek"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Werkpakketten-module, standaardtype "Verzoek" (Feature) of "Bug" hergebruikt/hernoemd als Issue; categorie-veld voor de vier issuecategorieën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Highlight Report / voortgang (niveau 1, deel 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Gefilterde werkpakketweergave + statusrapportage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Werkpakketten-module → opgeslagen weergave per fase, gegroepeerd op status en % gereed; periodiek geëxporteerd als voortgangsrapportage (zie §8)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Fase / beheersfase (niveau 1, deel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Werkpakkettype "Fase"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Werkpakketten-module; fasen als bovenliggende werkpakketten van de onderliggende producten/taken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Tranche (niveau 2, deel 15 en 17)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Versie (Roadmap-module) of bovenliggend werkpakkettype "Fase" op programmaniveau</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Roadmap-module → nieuwe versie aanmaken per tranche, met startdatum en een korte omschrijving van de bijbehorende stapverandering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Programmastructuur / Projects Dossier (niveau 2, deel 14 en 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Projecthiërarchie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Projecten-overzicht toont bovenliggend programma met onderliggende projecten; elk project behoudt een eigen werkpakkettenlijst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Afhankelijkheden tussen projecten (niveau 2, deel 17)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Werkpakketrelaties tussen projecten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 openen → Relaties; OpenProject staat relaties tussen werkpakketten in verschillende (onderliggende) projecten toe, zichtbaar in een programmabrede Gantt-weergave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 en Sprint Backlog, user story (niveau 2, deel 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Backlogs-module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Backlogs-module (indien geactiveerd) → Product backlog en Sprint backlog met story points; anders: Werkpakketten-module met type "User story" en een Kanban-bord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Kanban-bord / taakbord (niveau 2, deel 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Boards-module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Boards-module → nieuw bord, kolommen naar wens (bijvoorbeeld Backlog/Bezig/Gereed)</w:t>
            </w:r>
          </w:p>
        </w:tc>
      </w:tr>
    </w:tbl>
    <w:p>
      <w:pPr>
        <w:pStyle w:val="Heading2"/>
        <w:spacing w:after="120" w:before="200"/>
      </w:pPr>
      <w:r>
        <w:rPr>
          <w:rFonts w:ascii="Georgia" w:cs="Georgia" w:eastAsia="Georgia" w:hAnsi="Georgia"/>
          <w:b/>
          <w:bCs/>
          <w:color w:val="2563A8"/>
          <w:sz w:val="28"/>
          <w:szCs w:val="28"/>
        </w:rPr>
        <w:t xml:space="preserve">4. Kernwerkstromen</w:t>
      </w:r>
    </w:p>
    <w:p>
      <w:pPr>
        <w:spacing w:after="140" w:line="300"/>
      </w:pPr>
      <w:r>
        <w:rPr>
          <w:rFonts w:ascii="Calibri" w:cs="Calibri" w:eastAsia="Calibri" w:hAnsi="Calibri"/>
          <w:b/>
          <w:bCs/>
          <w:sz w:val="22"/>
          <w:szCs w:val="22"/>
        </w:rPr>
        <w:t xml:space="preserve">Een PBS realiseren als werkpakkethiërarchie.</w:t>
      </w:r>
      <w:r>
        <w:rPr>
          <w:rFonts w:ascii="Calibri" w:cs="Calibri" w:eastAsia="Calibri" w:hAnsi="Calibri"/>
          <w:sz w:val="22"/>
          <w:szCs w:val="22"/>
        </w:rPr>
        <w:t xml:space="preserve"> Maak eerst het eindproduct aan als werkpakket van het type Fase of Deliverable (bijvoorbeeld "Werkgeversportaal"). Voeg vervolgens onderliggende werkpakketten toe via "Nieuw onderliggend werkpakket": groeperende knopen (bijvoorbeeld "Authenticatie &amp; autorisatie") krijgen zelf geen inhoudelijke productbeschrijving, de knopen op het laagste niveau (bijvoorbeeld "Inlogmodule") wel — precies het onderscheid tussen groeperende en concrete producten uit deel 4, §2. De beschrijving van elk werkpakket is de plek voor de Product Description: doel, samenstelling, herkomst en kwaliteitscriteria.</w:t>
      </w:r>
    </w:p>
    <w:p>
      <w:pPr>
        <w:spacing w:after="140" w:line="300"/>
      </w:pPr>
      <w:r>
        <w:rPr>
          <w:rFonts w:ascii="Calibri" w:cs="Calibri" w:eastAsia="Calibri" w:hAnsi="Calibri"/>
          <w:b/>
          <w:bCs/>
          <w:sz w:val="22"/>
          <w:szCs w:val="22"/>
        </w:rPr>
        <w:t xml:space="preserve">Een PFD tekenen als volgorde van werkpakketten.</w:t>
      </w:r>
      <w:r>
        <w:rPr>
          <w:rFonts w:ascii="Calibri" w:cs="Calibri" w:eastAsia="Calibri" w:hAnsi="Calibri"/>
          <w:sz w:val="22"/>
          <w:szCs w:val="22"/>
        </w:rPr>
        <w:t xml:space="preserve"> Zodra de PBS staat, wordt de volgorde vastgelegd via werkpakketrelaties ("Voorafgegaan door"/"Gevolgd door"), niet via de bovenliggend/onderliggend-hiërarchie — die twee mogen in OpenProject, net als in PRINCE2, niet worden verward: hiërarchie toont samenstelling, relaties tonen volgorde. De Gantt-module visualiseert het resultaat als een tijdlijn met afhankelijkheidspijlen, het OpenProject-equivalent van het PFD.</w:t>
      </w:r>
    </w:p>
    <w:p>
      <w:pPr>
        <w:spacing w:after="140" w:line="300"/>
      </w:pPr>
      <w:r>
        <w:rPr>
          <w:rFonts w:ascii="Calibri" w:cs="Calibri" w:eastAsia="Calibri" w:hAnsi="Calibri"/>
          <w:b/>
          <w:bCs/>
          <w:sz w:val="22"/>
          <w:szCs w:val="22"/>
        </w:rPr>
        <w:t xml:space="preserve">Een tranche-planning als roadmap.</w:t>
      </w:r>
      <w:r>
        <w:rPr>
          <w:rFonts w:ascii="Calibri" w:cs="Calibri" w:eastAsia="Calibri" w:hAnsi="Calibri"/>
          <w:sz w:val="22"/>
          <w:szCs w:val="22"/>
        </w:rPr>
        <w:t xml:space="preserve"> Elke tranche uit deel 15 wordt een </w:t>
      </w:r>
      <w:r>
        <w:rPr>
          <w:rFonts w:ascii="Calibri" w:cs="Calibri" w:eastAsia="Calibri" w:hAnsi="Calibri"/>
          <w:b/>
          <w:bCs/>
          <w:sz w:val="22"/>
          <w:szCs w:val="22"/>
        </w:rPr>
        <w:t xml:space="preserve">versie</w:t>
      </w:r>
      <w:r>
        <w:rPr>
          <w:rFonts w:ascii="Calibri" w:cs="Calibri" w:eastAsia="Calibri" w:hAnsi="Calibri"/>
          <w:sz w:val="22"/>
          <w:szCs w:val="22"/>
        </w:rPr>
        <w:t xml:space="preserve"> in de Roadmap-module, met een eigen (richt)datum. Werkpakketten die tot een tranche behoren, krijgen die versie toegewezen via het veld "Versie". De Roadmap-module toont vervolgens per tranche welke werkpakketten gepland zijn en wat de voortgang is — bruikbaar als basis voor de Tranche Review uit deel 15, §5. Op programmaniveau (het bovenliggende project) geeft een gecombineerde Gantt-weergave over de onderliggende projecten het afhankelijkheidsnetwerk uit deel 17, §3.</w:t>
      </w:r>
    </w:p>
    <w:p>
      <w:pPr>
        <w:spacing w:after="140" w:line="300"/>
      </w:pPr>
      <w:r>
        <w:rPr>
          <w:rFonts w:ascii="Calibri" w:cs="Calibri" w:eastAsia="Calibri" w:hAnsi="Calibri"/>
          <w:b/>
          <w:bCs/>
          <w:sz w:val="22"/>
          <w:szCs w:val="22"/>
        </w:rPr>
        <w:t xml:space="preserve">Een risicoregister bijhouden.</w:t>
      </w:r>
      <w:r>
        <w:rPr>
          <w:rFonts w:ascii="Calibri" w:cs="Calibri" w:eastAsia="Calibri" w:hAnsi="Calibri"/>
          <w:sz w:val="22"/>
          <w:szCs w:val="22"/>
        </w:rPr>
        <w:t xml:space="preserve"> Richt eenmalig (via Beheer → Typen) een werkpakkettype "Risico" in met aangepaste velden voor kans, impact, proximiteit, respons, risico-eigenaar en risicoactie-eigenaar — de kolommen uit het risicoregister in deel 6, §2. Een gefilterde, opgeslagen weergave op dit type toont het volledige register; kleurcodering op basis van het kans/impact-veld benadert het probability/impact-grid. Op programmaniveau (deel 13, §3 en deel 18) wordt dezelfde structuur op het bovenliggende project toegepast, met een apart veld voor het project waar het risico oorspronkelijk is gesignaleerd, zodat risico's die project- of programmagrenzen overstijgen zichtbaar blijven herleidbaar.</w:t>
      </w:r>
    </w:p>
    <w:p>
      <w:pPr>
        <w:pStyle w:val="Heading2"/>
        <w:spacing w:after="120" w:before="200"/>
      </w:pPr>
      <w:r>
        <w:rPr>
          <w:rFonts w:ascii="Georgia" w:cs="Georgia" w:eastAsia="Georgia" w:hAnsi="Georgia"/>
          <w:b/>
          <w:bCs/>
          <w:color w:val="2563A8"/>
          <w:sz w:val="28"/>
          <w:szCs w:val="28"/>
        </w:rPr>
        <w:t xml:space="preserve">5. Jira- en Azure DevOps-klikpaden (vanaf deel 16 en 17)</w:t>
      </w:r>
    </w:p>
    <w:p>
      <w:pPr>
        <w:spacing w:after="140" w:line="300"/>
      </w:pPr>
      <w:r>
        <w:rPr>
          <w:rFonts w:ascii="Calibri" w:cs="Calibri" w:eastAsia="Calibri" w:hAnsi="Calibri"/>
          <w:sz w:val="22"/>
          <w:szCs w:val="22"/>
        </w:rPr>
        <w:t xml:space="preserve">Vanaf deel 16 (agile en hybride levering binnen een project) en deel 17 (planning op programmaschaal) werken veel organisaties in de praktijk met Jira of Azure DevOps in plaats van OpenProject. Onderstaande tabel geeft alleen de belangrijkste equivalenten — geen volledige handleiding.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Cursusbegrip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OpenProject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Jira</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Azure DevOps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 / user story (deel 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 type User story</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Issue, type Story</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Work item, type User Story</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Backlog en sprint (deel 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Backlogs-module: Product/Sprint backlog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Backlog-weergave binnen een Jira Software-project, Sprints beheerd via Board → Backlog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Azure Boards → Backlogs, Sprints via Iterations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Kanban-bord (deel 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Boards-module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Board-weergave (Kanban- of Scrum-board)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Azure Boards → Boards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Epic (groepering van user stories)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 type Feature/Epic (bovenliggend)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Issue, type Epic</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Work item, type Epic/Feature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Programmabrede planning over meerdere projecten/teams (deel 17)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Bovenliggend project met Gantt over onderliggende projecten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Advanced Roadmaps (Jira Premium): cross-project planning over meerdere boards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Delivery Plans-extensie: gecombineerde weergave van iteraties over meerdere teams/area paths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Tranche als planningseenheid (deel 15, 17)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Versie (Roadmap-module)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Release/Fix Version, of een tijdlijn-swimlane in Advanced Roadmaps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Iteration Path op een hoger niveau, of een aparte Area Path per tranche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 als apart te volgen item (deel 6, 18)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Werkpakkettype "Risico" met aangepaste velden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Issue-type "Risk" (aan te maken in projectinstellingen) of een label/component "risk"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Work item-type "Risk" (beschikbaar in sommige processjablonen, anders custom work item type)</w:t>
            </w:r>
          </w:p>
        </w:tc>
      </w:tr>
    </w:tbl>
    <w:p>
      <w:pPr>
        <w:spacing w:after="140" w:line="300"/>
      </w:pPr>
      <w:r>
        <w:rPr>
          <w:rFonts w:ascii="Calibri" w:cs="Calibri" w:eastAsia="Calibri" w:hAnsi="Calibri"/>
          <w:sz w:val="22"/>
          <w:szCs w:val="22"/>
        </w:rPr>
        <w:t xml:space="preserve">Voor Jira: de vertaalslag "epics → stories → sprints" komt sterk overeen met de PBS/user-story-benadering, met dien verstande dat Jira geen native PRINCE2-werkpakketbegrip kent — de discipline van formeel autoriseren en opleveren van een werkpakket (deel 8, §2-3) moet met een workflow-status of goedkeuringsstap worden nagebootst. Voor Azure DevOps geldt hetzelfde voor Area Paths/Iteration Paths: die zijn primair bedoeld voor team- en tijdsindeling, niet voor de productgerichte PBS-logica uit deel 4 — een Azure DevOps-backlog toont van nature een activiteiten- of featuregerichte structuur, waar bewust productdenken (eerst het product beschrijven, dan pas plannen) een expliciete, aparte stap blijft.</w:t>
      </w:r>
    </w:p>
    <w:p>
      <w:pPr>
        <w:pStyle w:val="Heading2"/>
        <w:spacing w:after="120" w:before="200"/>
      </w:pPr>
      <w:r>
        <w:rPr>
          <w:rFonts w:ascii="Georgia" w:cs="Georgia" w:eastAsia="Georgia" w:hAnsi="Georgia"/>
          <w:b/>
          <w:bCs/>
          <w:color w:val="2563A8"/>
          <w:sz w:val="28"/>
          <w:szCs w:val="28"/>
        </w:rPr>
        <w:t xml:space="preserve">6. Naamgevingsconventies</w:t>
      </w:r>
    </w:p>
    <w:p>
      <w:pPr>
        <w:spacing w:after="140" w:line="300"/>
      </w:pPr>
      <w:r>
        <w:rPr>
          <w:rFonts w:ascii="Calibri" w:cs="Calibri" w:eastAsia="Calibri" w:hAnsi="Calibri"/>
          <w:sz w:val="22"/>
          <w:szCs w:val="22"/>
        </w:rPr>
        <w:t xml:space="preserve">Voor een leesbare, groeiende projectomgeving, aansluitend bij de terminologie uit de cursus:</w:t>
      </w:r>
    </w:p>
    <w:p>
      <w:pPr>
        <w:pStyle w:val="ListParagraph"/>
        <w:numPr>
          <w:ilvl w:val="0"/>
          <w:numId w:val="1"/>
        </w:numPr>
        <w:spacing w:after="100" w:line="280"/>
      </w:pPr>
      <w:r>
        <w:rPr>
          <w:rFonts w:ascii="Calibri" w:cs="Calibri" w:eastAsia="Calibri" w:hAnsi="Calibri"/>
          <w:sz w:val="22"/>
          <w:szCs w:val="22"/>
        </w:rPr>
        <w:t xml:space="preserve">Projecten en programma's: gebruik de casusnaam zoals in de cursus (bijvoorbeeld "Mutatieplatform" als programma, "WGP 2.0" als project), niet een interne projectcode alleen — herkenbaarheid weegt zwaarder dan beknoptheid.</w:t>
      </w:r>
    </w:p>
    <w:p>
      <w:pPr>
        <w:pStyle w:val="ListParagraph"/>
        <w:numPr>
          <w:ilvl w:val="0"/>
          <w:numId w:val="1"/>
        </w:numPr>
        <w:spacing w:after="100" w:line="280"/>
      </w:pPr>
      <w:r>
        <w:rPr>
          <w:rFonts w:ascii="Calibri" w:cs="Calibri" w:eastAsia="Calibri" w:hAnsi="Calibri"/>
          <w:sz w:val="22"/>
          <w:szCs w:val="22"/>
        </w:rPr>
        <w:t xml:space="preserve">Werkpakketten: zelfstandig naamwoord voor het product, geen activiteitsvorm (deel 4's onderscheid tussen product en activiteit geldt ook in de titel van een werkpakket: "Inlogmodule", niet "Inlogmodule bouwen").</w:t>
      </w:r>
    </w:p>
    <w:p>
      <w:pPr>
        <w:pStyle w:val="ListParagraph"/>
        <w:numPr>
          <w:ilvl w:val="0"/>
          <w:numId w:val="1"/>
        </w:numPr>
        <w:spacing w:after="100" w:line="280"/>
      </w:pPr>
      <w:r>
        <w:rPr>
          <w:rFonts w:ascii="Calibri" w:cs="Calibri" w:eastAsia="Calibri" w:hAnsi="Calibri"/>
          <w:sz w:val="22"/>
          <w:szCs w:val="22"/>
        </w:rPr>
        <w:t xml:space="preserve">Versies (tranches): `Tranche [nummer] — [korte typering]`, bijvoorbeeld "Tranche 1 — Technische basis".</w:t>
      </w:r>
    </w:p>
    <w:p>
      <w:pPr>
        <w:pStyle w:val="ListParagraph"/>
        <w:numPr>
          <w:ilvl w:val="0"/>
          <w:numId w:val="1"/>
        </w:numPr>
        <w:spacing w:after="100" w:line="280"/>
      </w:pPr>
      <w:r>
        <w:rPr>
          <w:rFonts w:ascii="Calibri" w:cs="Calibri" w:eastAsia="Calibri" w:hAnsi="Calibri"/>
          <w:sz w:val="22"/>
          <w:szCs w:val="22"/>
        </w:rPr>
        <w:t xml:space="preserve">Risico- en issuewerkpakketten: begin de titel met de gebeurtenis, niet de oorzaak of het effect, zodat een gefilterde lijst in één oogopslag leesbaar blijft (bijvoorbeeld "Vertraagde levering kernsysteemkoppeling", niet "Risico bij leverancier").</w:t>
      </w:r>
    </w:p>
    <w:p>
      <w:pPr>
        <w:pStyle w:val="Heading2"/>
        <w:spacing w:after="120" w:before="200"/>
      </w:pPr>
      <w:r>
        <w:rPr>
          <w:rFonts w:ascii="Georgia" w:cs="Georgia" w:eastAsia="Georgia" w:hAnsi="Georgia"/>
          <w:b/>
          <w:bCs/>
          <w:color w:val="2563A8"/>
          <w:sz w:val="28"/>
          <w:szCs w:val="28"/>
        </w:rPr>
        <w:t xml:space="preserve">7. Exporteren en rapporteren</w:t>
      </w:r>
    </w:p>
    <w:p>
      <w:pPr>
        <w:pStyle w:val="ListParagraph"/>
        <w:numPr>
          <w:ilvl w:val="0"/>
          <w:numId w:val="1"/>
        </w:numPr>
        <w:spacing w:after="100" w:line="280"/>
      </w:pPr>
      <w:r>
        <w:rPr>
          <w:rFonts w:ascii="Calibri" w:cs="Calibri" w:eastAsia="Calibri" w:hAnsi="Calibri"/>
          <w:b/>
          <w:bCs/>
          <w:sz w:val="22"/>
          <w:szCs w:val="22"/>
        </w:rPr>
        <w:t xml:space="preserve">Werkpakketten-module → Exporteren</w:t>
      </w:r>
      <w:r>
        <w:rPr>
          <w:rFonts w:ascii="Calibri" w:cs="Calibri" w:eastAsia="Calibri" w:hAnsi="Calibri"/>
          <w:sz w:val="22"/>
          <w:szCs w:val="22"/>
        </w:rPr>
        <w:t xml:space="preserve"> (rechtsboven in elke weergave) levert een export naar Excel, CSV of PDF van de actuele, gefilterde lijst — bruikbaar als bijlage bij een Highlight Report of Tranche Review.</w:t>
      </w:r>
    </w:p>
    <w:p>
      <w:pPr>
        <w:pStyle w:val="ListParagraph"/>
        <w:numPr>
          <w:ilvl w:val="0"/>
          <w:numId w:val="1"/>
        </w:numPr>
        <w:spacing w:after="100" w:line="280"/>
      </w:pPr>
      <w:r>
        <w:rPr>
          <w:rFonts w:ascii="Calibri" w:cs="Calibri" w:eastAsia="Calibri" w:hAnsi="Calibri"/>
          <w:b/>
          <w:bCs/>
          <w:sz w:val="22"/>
          <w:szCs w:val="22"/>
        </w:rPr>
        <w:t xml:space="preserve">Gantt-module → Exporteren</w:t>
      </w:r>
      <w:r>
        <w:rPr>
          <w:rFonts w:ascii="Calibri" w:cs="Calibri" w:eastAsia="Calibri" w:hAnsi="Calibri"/>
          <w:sz w:val="22"/>
          <w:szCs w:val="22"/>
        </w:rPr>
        <w:t xml:space="preserve"> genereert een PDF of afbeelding van de tijdlijn — de manier waarop de [FIGUUR x-y]-placeholders voor PFD's, Gantt-planningen en tranche-roadmaps in deze cursus uiteindelijk worden ingevuld.</w:t>
      </w:r>
    </w:p>
    <w:p>
      <w:pPr>
        <w:pStyle w:val="ListParagraph"/>
        <w:numPr>
          <w:ilvl w:val="0"/>
          <w:numId w:val="1"/>
        </w:numPr>
        <w:spacing w:after="100" w:line="280"/>
      </w:pPr>
      <w:r>
        <w:rPr>
          <w:rFonts w:ascii="Calibri" w:cs="Calibri" w:eastAsia="Calibri" w:hAnsi="Calibri"/>
          <w:b/>
          <w:bCs/>
          <w:sz w:val="22"/>
          <w:szCs w:val="22"/>
        </w:rPr>
        <w:t xml:space="preserve">Roadmap-module</w:t>
      </w:r>
      <w:r>
        <w:rPr>
          <w:rFonts w:ascii="Calibri" w:cs="Calibri" w:eastAsia="Calibri" w:hAnsi="Calibri"/>
          <w:sz w:val="22"/>
          <w:szCs w:val="22"/>
        </w:rPr>
        <w:t xml:space="preserve"> geeft per versie (tranche) een overzicht van bijbehorende werkpakketten en voortgang, exporteerbaar op dezelfde manier — bruikbaar als visuele onderbouwing bij een Tranche Review (deel 15, §5).</w:t>
      </w:r>
    </w:p>
    <w:p>
      <w:pPr>
        <w:pStyle w:val="ListParagraph"/>
        <w:numPr>
          <w:ilvl w:val="0"/>
          <w:numId w:val="1"/>
        </w:numPr>
        <w:spacing w:after="100" w:line="280"/>
      </w:pPr>
      <w:r>
        <w:rPr>
          <w:rFonts w:ascii="Calibri" w:cs="Calibri" w:eastAsia="Calibri" w:hAnsi="Calibri"/>
          <w:sz w:val="22"/>
          <w:szCs w:val="22"/>
        </w:rPr>
        <w:t xml:space="preserve">Voor geaggregeerde voortgang op programmaniveau (Earned Value-achtige rapportage, deel 17, §5): OpenProject Community biedt basisrapportage per project; een programmabrede aggregatie van SPI/CPI-achtige cijfers vergt in de praktijk een export naar een spreadsheet of de Enterprise-rapportagemodule — de cursus behandelt de aggregatielogiek toolonafhankelijk, precies omdat geen enkele tool dit volledig geautomatiseerd en betrouwbaar oplevert (deel 17, §5).</w:t>
      </w:r>
    </w:p>
    <w:p>
      <w:pPr>
        <w:pStyle w:val="Heading2"/>
        <w:spacing w:after="120" w:before="200"/>
      </w:pPr>
      <w:r>
        <w:rPr>
          <w:rFonts w:ascii="Georgia" w:cs="Georgia" w:eastAsia="Georgia" w:hAnsi="Georgia"/>
          <w:b/>
          <w:bCs/>
          <w:color w:val="2563A8"/>
          <w:sz w:val="28"/>
          <w:szCs w:val="28"/>
        </w:rPr>
        <w:t xml:space="preserve">8. Wat OpenProject niet doet</w:t>
      </w:r>
    </w:p>
    <w:p>
      <w:pPr>
        <w:spacing w:after="140" w:line="300"/>
      </w:pPr>
      <w:r>
        <w:rPr>
          <w:rFonts w:ascii="Calibri" w:cs="Calibri" w:eastAsia="Calibri" w:hAnsi="Calibri"/>
          <w:sz w:val="22"/>
          <w:szCs w:val="22"/>
        </w:rPr>
        <w:t xml:space="preserve">OpenProject is een projectplannings- en samenwerkingstool, geen gespecialiseerde Portfolio- en Programma Management-software (PPM), geen financieel systeem en geen benefits-managementtool. Voor het beheren van een volledige programmaportfolio met formele investeringsbeslissingen op bestuursniveau (deel 13) verwijst deze cursusfamilie naar dedicated PPM-pakketten (bijvoorbeeld Planview, Clarity of vergelijkbare software), die dit boven de schaal van een individueel project- of programmateam ondersteunen. Voor financiële consolidatie van de business case (deel 13, §3) en formele batenrealisatie-tracking op organisatieniveau is een koppeling met een financieel systeem nodig — OpenProject registreert kosten en budgetten op werkpakketniveau, maar is geen vervanging voor een ERP- of BI-omgeving. OpenProject ondersteunt het plannen en volgen van de werkpakketten, risico's en tranches die deze cursus leert structureren — de methode (PRINCE2, MSP, IPMA) en het denkwerk blijven toolonafhankelijk.</w:t>
      </w:r>
    </w:p>
    <w:p>
      <w:pPr>
        <w:spacing w:after="140" w:line="300"/>
      </w:pPr>
      <w:r>
        <w:rPr>
          <w:rFonts w:ascii="Calibri" w:cs="Calibri" w:eastAsia="Calibri" w:hAnsi="Calibri"/>
          <w:i/>
          <w:iCs/>
          <w:sz w:val="22"/>
          <w:szCs w:val="22"/>
        </w:rPr>
        <w:t xml:space="preserve">Deze bijlage staat buiten de nummering van de dertig delen en wordt bijgewerkt naar de laatste stabiele OpenProject-versie op het moment van cursusonderhoud.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Toolbijlage · Referentiemateriaal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2026-08-17T08:31:52.730Z</dcterms:created>
  <dcterms:modified xsi:type="dcterms:W3CDTF">2026-08-17T08:31:52.732Z</dcterms:modified>
</cp:coreProperties>
</file>

<file path=docProps/custom.xml><?xml version="1.0" encoding="utf-8"?>
<Properties xmlns="http://schemas.openxmlformats.org/officeDocument/2006/custom-properties" xmlns:vt="http://schemas.openxmlformats.org/officeDocument/2006/docPropsVTypes"/>
</file>