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2</w:t>
      </w:r>
    </w:p>
    <w:p>
      <w:pPr>
        <w:spacing w:after="300"/>
      </w:pPr>
      <w:r>
        <w:rPr>
          <w:rFonts w:ascii="Calibri" w:cs="Calibri" w:eastAsia="Calibri" w:hAnsi="Calibri"/>
          <w:b/>
          <w:bCs/>
          <w:color w:val="14213D"/>
          <w:sz w:val="32"/>
          <w:szCs w:val="32"/>
        </w:rPr>
        <w:t xml:space="preserve">Docentenhandleiding — BPM als managementdiscipline</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is het examenzwaarste deel van niveau 1: de BMM-terminologie wordt letterlijk getoetst, en veel deelnemers onderschatten dat omdat het "geen tekenwerk" is. Behandel het niet als een tussendoortje voor deel 3. De kernboodschap: een model dat je straks tekent, bestaat omdat de organisatie iets wil bereiken — en als je die relatie niet kunt aantonen, moet je je afvragen of het proces nog relevant is.</w:t>
      </w:r>
    </w:p>
    <w:p>
      <w:pPr>
        <w:spacing w:after="160" w:line="300"/>
        <w:jc w:val="left"/>
      </w:pPr>
      <w:r>
        <w:rPr>
          <w:rFonts w:ascii="Calibri" w:cs="Calibri" w:eastAsia="Calibri" w:hAnsi="Calibri"/>
          <w:b w:val="false"/>
          <w:bCs w:val="false"/>
          <w:i w:val="false"/>
          <w:iCs w:val="false"/>
          <w:color w:val="1A1A1A"/>
          <w:sz w:val="21"/>
          <w:szCs w:val="21"/>
        </w:rPr>
        <w:t xml:space="preserve">Grootste risico: het gesprek zakt af naar bedrijfskundige algemeenheden waar iedereen wel iets van vindt. Houd het bij de definities en bij Meridiaan. Abstractie is hier de vijand van examengereedheid.</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 programma van vandaag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BPM-levenscyclus (§2.1)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Meridiaan-bibliotheekvoorbeeld centraal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plenaire bespreking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 keten, architectuur (§2.2)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2:00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BMM (§2.3)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Meridiaan-keten stap voor stap opbouwen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2:00 – 2:25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2:25 – 2:55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2:55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Volwassenheid (§2.4) — opdracht 4 kort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plenaire toepassing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Meten (§2.5) en verbetermethoden (§2.6) kort, opdracht 7,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Loop je uit: laat opdracht 5 vervallen en geef die als huiswerk mee — die leunt sterk op deel 1 en kan zelfstandig. Laat opdracht 2 en 3 nooit vallen; dat is de examenkern.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Plaats de activiteit in de cyclus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Fase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Toelichting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Ontdekken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Modelleren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Analyseren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Ontwerpen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Uitvoeren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Monitoren (inrichten)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Let op: het dashboard zelf inrichten is ontwerp/uitvoeren van de meting; het gebruik ervan is monitoren. Beide antwoorden zijn verdedigbaar — vraag naar de redenering.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Verbeteren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Sluit de cyclus: van meting naar aanpassing.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Ontdekken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Ook al gebeurt dit tijdens modelleren — het is een ontdekking die de scope van #2 raakt.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9</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Ontdekken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Uitvoeren (voorbereidend) of Ontwerpen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Testen vóór livegang hoort bij de overgang; beide labels zijn te verdedigen.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Modelleren, voortkomend uit Analyseren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Verbeteren (op ketenniveau)</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Dit is het meest onderschatte antwoord: stopzetten is ook een uitkomst van de cyclus.</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De drie meerduidige activiteiten (6, 10, 11) zijn het leermoment: de fasen lopen in de praktijk in elkaar over. Wat je wilt voorkomen is dat deelnemers denken dat de cyclus een strikte volgorde met harde overgangen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Sorteer ends en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Visie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Missie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Doel</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Doelstelling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Strategie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Tactiek</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Doelstelling</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Strategie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9</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Tactiek</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Visie</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Uitspraak 7 en 4 worden vaak verward met een doel in plaats van een doelstelling — deelnemers missen dat het meetbaar en tijdgebonden is. Herhaal de vuistregel: een doelstelling heeft een getal en een deadline, een doel niet. Uitspraak 2 wordt soms als visie gezien; het verschil is dat een missie beschrijft wát de organisatie doet (means), een visie beschrijft het gewenste toekomstbeeld (ends).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Bouw een BMM-keten</w:t>
      </w:r>
    </w:p>
    <w:p>
      <w:pPr>
        <w:spacing w:after="160" w:line="300"/>
        <w:jc w:val="left"/>
      </w:pPr>
      <w:r>
        <w:rPr>
          <w:rFonts w:ascii="Calibri" w:cs="Calibri" w:eastAsia="Calibri" w:hAnsi="Calibri"/>
          <w:b w:val="false"/>
          <w:bCs w:val="false"/>
          <w:i w:val="false"/>
          <w:iCs w:val="false"/>
          <w:color w:val="1A1A1A"/>
          <w:sz w:val="21"/>
          <w:szCs w:val="21"/>
        </w:rPr>
        <w:t xml:space="preserve">Geen modelantwoord — beoordeel op consistentie van de keten, niet op de exacte formulering.</w:t>
      </w:r>
    </w:p>
    <w:p>
      <w:pPr>
        <w:spacing w:after="160" w:line="300"/>
        <w:jc w:val="left"/>
      </w:pPr>
      <w:r>
        <w:rPr>
          <w:rFonts w:ascii="Calibri" w:cs="Calibri" w:eastAsia="Calibri" w:hAnsi="Calibri"/>
          <w:b/>
          <w:bCs/>
          <w:i w:val="false"/>
          <w:iCs w:val="false"/>
          <w:color w:val="1A1A1A"/>
          <w:sz w:val="21"/>
          <w:szCs w:val="21"/>
        </w:rPr>
        <w:t xml:space="preserve">Beoordelingspunten: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elke schakel aantoonbaar afgeleid van de vorige, of springt het tweetal van visie direct naar tactiek?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Vraag 1 (welke schakel moest je gokken) levert vrijwel altijd hetzelfde antwoord op: de doelstelling. Veel organisaties hebben een visie en een strategie op papier, maar geen expliciete, meetbare doelstelling per proces. Benoem dat dit zelf al een BPMM-signaal is (lager volwassenheidsniveau).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Vraag 2 is de kern: een deel van de zaal zal zeggen "er verandert niets in het model" — dat is correct én het probleem. Een procesmodel toont geen doelstelling, dus een gewijzigde doelstelling is in het model zelf onzichtbaar tenzij je de indicatoren (zie §2.5) aan het model koppelt.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Schat de volwassenheid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Afdeling A</w:t>
      </w:r>
      <w:r>
        <w:rPr>
          <w:rFonts w:ascii="Calibri" w:cs="Calibri" w:eastAsia="Calibri" w:hAnsi="Calibri"/>
          <w:b w:val="false"/>
          <w:bCs w:val="false"/>
          <w:i w:val="false"/>
          <w:iCs w:val="false"/>
          <w:color w:val="1A1A1A"/>
          <w:sz w:val="21"/>
          <w:szCs w:val="21"/>
        </w:rPr>
        <w:t xml:space="preserve"> — laag. Geen vastgelegde werkwijze, geen meting, kennis zit in personen.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Afdeling B</w:t>
      </w:r>
      <w:r>
        <w:rPr>
          <w:rFonts w:ascii="Calibri" w:cs="Calibri" w:eastAsia="Calibri" w:hAnsi="Calibri"/>
          <w:b w:val="false"/>
          <w:bCs w:val="false"/>
          <w:i w:val="false"/>
          <w:iCs w:val="false"/>
          <w:color w:val="1A1A1A"/>
          <w:sz w:val="21"/>
          <w:szCs w:val="21"/>
        </w:rPr>
        <w:t xml:space="preserve"> — gestandaardiseerd. Werkwijze vastgelegd, maar geen structurele meting; verbetering is incidenteel en reactief.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Afdeling C</w:t>
      </w:r>
      <w:r>
        <w:rPr>
          <w:rFonts w:ascii="Calibri" w:cs="Calibri" w:eastAsia="Calibri" w:hAnsi="Calibri"/>
          <w:b w:val="false"/>
          <w:bCs w:val="false"/>
          <w:i w:val="false"/>
          <w:iCs w:val="false"/>
          <w:color w:val="1A1A1A"/>
          <w:sz w:val="21"/>
          <w:szCs w:val="21"/>
        </w:rPr>
        <w:t xml:space="preserve"> — gemeten (grenzend aan zelflerend). Structurele meting, oorzaakanalyse bij afwijking, én evaluatie van het effect van verbeteringen — dat laatste is het kenmerk dat richting zelflerend wijst.</w:t>
      </w:r>
    </w:p>
    <w:p>
      <w:pPr>
        <w:spacing w:after="160" w:line="300"/>
        <w:jc w:val="left"/>
      </w:pPr>
      <w:r>
        <w:rPr>
          <w:rFonts w:ascii="Calibri" w:cs="Calibri" w:eastAsia="Calibri" w:hAnsi="Calibri"/>
          <w:b/>
          <w:bCs/>
          <w:i w:val="false"/>
          <w:iCs w:val="false"/>
          <w:color w:val="1A1A1A"/>
          <w:sz w:val="21"/>
          <w:szCs w:val="21"/>
        </w:rPr>
        <w:t xml:space="preserve">Bespreekpunt bij de afsluitende vraag.</w:t>
      </w:r>
      <w:r>
        <w:rPr>
          <w:rFonts w:ascii="Calibri" w:cs="Calibri" w:eastAsia="Calibri" w:hAnsi="Calibri"/>
          <w:b w:val="false"/>
          <w:bCs w:val="false"/>
          <w:i w:val="false"/>
          <w:iCs w:val="false"/>
          <w:color w:val="1A1A1A"/>
          <w:sz w:val="21"/>
          <w:szCs w:val="21"/>
        </w:rPr>
        <w:t xml:space="preserve"> Afdeling A profiteert op papier het meest van een model — er is niets vastgelegd. Maar zonder enige basis van gedeelde werkwijze zal een model daar het snelst verouderen, omdat niemand het onderhoudt (koppel terug naar §2.1, de ontbrekende monitorfase). Afdeling C profiteert het minst van een nieuw model omdat de basis er al ligt, maar heeft wel de capaciteit om een model levend te houden. Dit is een bewust ongemakkelijke vraag — laat de zaal het spanningsveld benoemen in plaats van naar een net antwoord te zoeken.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Ontwerp indicatoren</w:t>
      </w:r>
    </w:p>
    <w:p>
      <w:pPr>
        <w:spacing w:after="160" w:line="300"/>
        <w:jc w:val="left"/>
      </w:pPr>
      <w:r>
        <w:rPr>
          <w:rFonts w:ascii="Calibri" w:cs="Calibri" w:eastAsia="Calibri" w:hAnsi="Calibri"/>
          <w:b w:val="false"/>
          <w:bCs w:val="false"/>
          <w:i w:val="false"/>
          <w:iCs w:val="false"/>
          <w:color w:val="1A1A1A"/>
          <w:sz w:val="21"/>
          <w:szCs w:val="21"/>
        </w:rPr>
        <w:t xml:space="preserve">Voorbeelduitwerking: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CSF</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KPI</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Meetpunt</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Norm</w:t>
            </w:r>
          </w:p>
        </w:tc>
        <w:tc>
          <w:tcPr>
            <w:tcW w:type="dxa" w:w="18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Leidend/volgend</w:t>
            </w:r>
          </w:p>
        </w:tc>
      </w:tr>
      <w:tr>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Voldoende geautomatiseerde afhandeling</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mutaties zonder handmatige tussenkomst</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Bij afronding van het proces</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90%</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Volgend</w:t>
            </w:r>
          </w:p>
        </w:tc>
      </w:tr>
      <w:tr>
        <w:tc>
          <w:tcPr>
            <w:tcW w:type="dxa" w:w="18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Tijdige verwerking</w:t>
            </w:r>
          </w:p>
        </w:tc>
        <w:tc>
          <w:tcPr>
            <w:tcW w:type="dxa" w:w="18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Gemiddelde doorlooptijd in uren</w:t>
            </w:r>
          </w:p>
        </w:tc>
        <w:tc>
          <w:tcPr>
            <w:tcW w:type="dxa" w:w="18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Van ontvangst tot bevestiging</w:t>
            </w:r>
          </w:p>
        </w:tc>
        <w:tc>
          <w:tcPr>
            <w:tcW w:type="dxa" w:w="18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4 uur</w:t>
            </w:r>
          </w:p>
        </w:tc>
        <w:tc>
          <w:tcPr>
            <w:tcW w:type="dxa" w:w="18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Volgend</w:t>
            </w:r>
          </w:p>
        </w:tc>
      </w:tr>
      <w:tr>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Tijdige verwerking</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Aantal mutaties in wachtrij ouder dan 2 uur</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Continu, tijdens verwerking</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&lt; 10</w:t>
            </w:r>
          </w:p>
        </w:tc>
        <w:tc>
          <w:tcPr>
            <w:tcW w:type="dxa" w:w="18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Leidend</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Dimensie </w:t>
      </w:r>
      <w:r>
        <w:rPr>
          <w:rFonts w:ascii="Calibri" w:cs="Calibri" w:eastAsia="Calibri" w:hAnsi="Calibri"/>
          <w:b w:val="false"/>
          <w:bCs w:val="false"/>
          <w:i/>
          <w:iCs/>
          <w:color w:val="1A1A1A"/>
          <w:sz w:val="21"/>
          <w:szCs w:val="21"/>
        </w:rPr>
        <w:t xml:space="preserve">kosten</w:t>
      </w:r>
      <w:r>
        <w:rPr>
          <w:rFonts w:ascii="Calibri" w:cs="Calibri" w:eastAsia="Calibri" w:hAnsi="Calibri"/>
          <w:b w:val="false"/>
          <w:bCs w:val="false"/>
          <w:i w:val="false"/>
          <w:iCs w:val="false"/>
          <w:color w:val="1A1A1A"/>
          <w:sz w:val="21"/>
          <w:szCs w:val="21"/>
        </w:rPr>
        <w:t xml:space="preserve"> ontbrengt vaak bewust: bij een grotendeels geautomatiseerd proces is kostenmeting per instantie weinig zinvol totdat het handmatige aandeel significant is. Beoordeel of het tweetal dat expliciet beargumenteert, niet of ze toevallig vier dimensies hebben ingevuld.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in beide richtingen. Vóór: zonder eigenaar geen besluitvorming over wijziging, dus feitelijk geen beheerst proces. Tegen: het werk gebeurt evengoed, "bestaan" is een sterk woord voor een beheersvraagstuk.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prikkelend. Verbind aan §2.4: hoger niveau kost doorlopende capaciteit (structurele meting, evaluatie). Voor een niet-kernproces is dat vaak niet rendabel; voor mutatieverwerking bij een pensioenuitvoerder, onder toezicht, ligt dat anders.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Verbind aan §2.5: een KPI die nergens in een rapportage landt is geen indicator maar een goed voornemen.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Vrijwel altijd het foute antwoord in de ogen van de groep, en dat is precies het punt: zonder monitoren stopt de cyclus en herhaalt de Meridiaan-bibliotheek zich.</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Doel en doelstelling verwisselen.</w:t>
      </w:r>
      <w:r>
        <w:rPr>
          <w:rFonts w:ascii="Calibri" w:cs="Calibri" w:eastAsia="Calibri" w:hAnsi="Calibri"/>
          <w:b w:val="false"/>
          <w:bCs w:val="false"/>
          <w:i w:val="false"/>
          <w:iCs w:val="false"/>
          <w:color w:val="1A1A1A"/>
          <w:sz w:val="21"/>
          <w:szCs w:val="21"/>
        </w:rPr>
        <w:t xml:space="preserve"> Herhaal de vuistregel bij elke gelegenheid: getal + deadline = doelstelling.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BMM behandelen als invuloefening in plaats van diagnostiek.</w:t>
      </w:r>
      <w:r>
        <w:rPr>
          <w:rFonts w:ascii="Calibri" w:cs="Calibri" w:eastAsia="Calibri" w:hAnsi="Calibri"/>
          <w:b w:val="false"/>
          <w:bCs w:val="false"/>
          <w:i w:val="false"/>
          <w:iCs w:val="false"/>
          <w:color w:val="1A1A1A"/>
          <w:sz w:val="21"/>
          <w:szCs w:val="21"/>
        </w:rPr>
        <w:t xml:space="preserve"> Het doel van opdracht 3 is niet de keten invullen, maar ontdekken waar hij breekt.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Volwassenheid gelijkstellen aan documentatie.</w:t>
      </w:r>
      <w:r>
        <w:rPr>
          <w:rFonts w:ascii="Calibri" w:cs="Calibri" w:eastAsia="Calibri" w:hAnsi="Calibri"/>
          <w:b w:val="false"/>
          <w:bCs w:val="false"/>
          <w:i w:val="false"/>
          <w:iCs w:val="false"/>
          <w:color w:val="1A1A1A"/>
          <w:sz w:val="21"/>
          <w:szCs w:val="21"/>
        </w:rPr>
        <w:t xml:space="preserve"> Herhaal: een assessment toetst gedrag, niet papier.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KPI's zonder norm.</w:t>
      </w:r>
      <w:r>
        <w:rPr>
          <w:rFonts w:ascii="Calibri" w:cs="Calibri" w:eastAsia="Calibri" w:hAnsi="Calibri"/>
          <w:b w:val="false"/>
          <w:bCs w:val="false"/>
          <w:i w:val="false"/>
          <w:iCs w:val="false"/>
          <w:color w:val="1A1A1A"/>
          <w:sz w:val="21"/>
          <w:szCs w:val="21"/>
        </w:rPr>
        <w:t xml:space="preserve"> Een getal zonder norm is geen KPI. Corrigeer dit hard in opdracht 5 — dit is een examenvalkuil.</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Levenscyclus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Kent de fasen niet of in willekeurige volgorde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Kent de fasen en plaatst activiteiten correct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overlap tussen fasen en beargumenteert dat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BMM-classificatie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Verwart ends en means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Classificeert correct in eenduidige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Classificeert correct én herkent het verschil tussen doel en doelstelling in grensgevallen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BMM-keten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Losse elementen zonder samenhang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Consistente keten, kleine gaten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Consistente keten, gaten expliciet benoemd als bevinding</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Indicatoren zonder norm of meetpunt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Indicatoren met norm en meetpunt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Onderbouwde keuze in dimensies, leidend/volgend correct toegepast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flip-over of gedeeld document voor opdracht 3 (BMM-ketens zijn goed zichtbaar te maken als verticale keten op een flip-over).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2026-08-17T15:51:35.088Z</dcterms:created>
  <dcterms:modified xsi:type="dcterms:W3CDTF">2026-08-17T15:51:35.089Z</dcterms:modified>
</cp:coreProperties>
</file>

<file path=docProps/custom.xml><?xml version="1.0" encoding="utf-8"?>
<Properties xmlns="http://schemas.openxmlformats.org/officeDocument/2006/custom-properties" xmlns:vt="http://schemas.openxmlformats.org/officeDocument/2006/docPropsVTypes"/>
</file>