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6</w:t>
      </w:r>
    </w:p>
    <w:p>
      <w:pPr>
        <w:spacing w:after="300"/>
      </w:pPr>
      <w:r>
        <w:rPr>
          <w:rFonts w:ascii="Calibri" w:cs="Calibri" w:eastAsia="Calibri" w:hAnsi="Calibri"/>
          <w:b/>
          <w:bCs/>
          <w:color w:val="14213D"/>
          <w:sz w:val="32"/>
          <w:szCs w:val="32"/>
        </w:rPr>
        <w:t xml:space="preserve">Docentenhandleiding — DMN basis</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Eerste kennismaking met de tweede taal van het programma. Grootste risico: deelnemers die net vier delen BPMN achter de rug hebben, proberen DMN te lezen als een variant van BPMN — een tabel als "nog een soort diagram". Zet dat er hard uit vanaf de eerste minuut: een beslistabel heeft geen volgorde, geen token, geen tijd. Het is invoer en uitkomst, punt.</w:t>
      </w:r>
    </w:p>
    <w:p>
      <w:pPr>
        <w:spacing w:after="160" w:line="300"/>
        <w:jc w:val="left"/>
      </w:pPr>
      <w:r>
        <w:rPr>
          <w:rFonts w:ascii="Calibri" w:cs="Calibri" w:eastAsia="Calibri" w:hAnsi="Calibri"/>
          <w:b w:val="false"/>
          <w:bCs w:val="false"/>
          <w:i w:val="false"/>
          <w:iCs w:val="false"/>
          <w:color w:val="1A1A1A"/>
          <w:sz w:val="21"/>
          <w:szCs w:val="21"/>
        </w:rPr>
        <w:t xml:space="preserve">Tweede punt van aandacht: de hit policies zijn de examenkern van dit deel en verdienen meer tijd dan de FEEL-introductie. FEEL komt in deel 15 uitgebreid terug; hier is het genoeg dat deelnemers een eenvoudige expressie kunnen lezen.</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niveau 1 tot nu toe, programma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Wanneer is iets een beslissing (§6.1)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WI-114-voorbeeld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0:25 – 0:45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0:45 – 1:05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DRD (§6.2)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1:05 – 1:25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1:25 – 1:40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1:40 – 2:00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Beslistabellen (§6.3)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2:00 – 2:30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Hit policies (§6.4)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6.3 stap voor stap</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2:30 – 2:45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2:45 – 3:15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3:15 – 3:40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3:40 – 3:50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Volledigheid/consistentie (§6.5), FEEL kort (§6.6), business rule task (§6.7)</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kort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3:50 – 4:00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5 (kort, of huiswerk), opdracht 6,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Bij tijdsdruk: opdracht 5 (FEEL) kan als huiswerk — het is de opdracht die het minst live begeleiding vergt. Laat opdracht 4 (hit policies) nooit inkorten; dat draagt het meeste examengewicht van dit deel.</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Proces of beslissing?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Antwoord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Toelichting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Beslissing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tijd, geen volgorde — puur invoer en uitkomst.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Proces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Expliciete volgorde: ontvangen, dan controleren, dan (eventueel) versturen.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Beslissing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Drie inputs zonder onderlinge tijdsafhankelijkheid, één uitkomst. Let op: "in de afgelopen 12 maanden" is een input die uit historische data komt, geen procesvolgorde.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Proces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 sequentiële stappen.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Beslissing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 inputs, geen tijd.</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Fragment 3 verwart deelnemers vaak omdat "in de afgelopen 12 maanden" naar tijd klinkt. Het onderscheid: dit is een gegeven (een historisch feit dat als invoerwaarde beschikbaar is), geen volgorde die het proces zelf doorloopt.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Bouw een DRD</w:t>
      </w:r>
    </w:p>
    <w:p>
      <w:pPr>
        <w:spacing w:after="160" w:line="300"/>
        <w:jc w:val="left"/>
      </w:pPr>
      <w:r>
        <w:rPr>
          <w:rFonts w:ascii="Calibri" w:cs="Calibri" w:eastAsia="Calibri" w:hAnsi="Calibri"/>
          <w:b w:val="false"/>
          <w:bCs w:val="false"/>
          <w:i w:val="false"/>
          <w:iCs w:val="false"/>
          <w:color w:val="1A1A1A"/>
          <w:sz w:val="21"/>
          <w:szCs w:val="21"/>
        </w:rPr>
        <w:t xml:space="preserve">Referentiemodel beschikbaar als DMN-XML voor import. Controleer: één decision met drie inkomende information requirements vanaf de drie input data-elementen, en een knowledge source verbonden met een niet-uitvoerbare, informatieve pijl (requirement-type "authority requirement" indien de tool dat ondersteunt, anders als toelichting).</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Bouw de beslistabel</w:t>
      </w:r>
    </w:p>
    <w:p>
      <w:pPr>
        <w:spacing w:after="160" w:line="300"/>
        <w:jc w:val="left"/>
      </w:pPr>
      <w:r>
        <w:rPr>
          <w:rFonts w:ascii="Calibri" w:cs="Calibri" w:eastAsia="Calibri" w:hAnsi="Calibri"/>
          <w:b w:val="false"/>
          <w:bCs w:val="false"/>
          <w:i w:val="false"/>
          <w:iCs w:val="false"/>
          <w:color w:val="1A1A1A"/>
          <w:sz w:val="21"/>
          <w:szCs w:val="21"/>
        </w:rPr>
        <w:t xml:space="preserve">Referentietabel: de vier expliciete combinaties uit §6.3, aangevuld met de vier niet in de brontekst genoemde combinaties. Verdedigbare invullingen voor de aanvullende vier (met dienstverband = nee):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Actief dienstverband</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Overdrachtswaarde boven afkoopgrens</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Dekkingsgraad ≥ 100%</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Uitkomst</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ja</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ja</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Afwijzen (na nader onderzoek)</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ja</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Afwijzen (na nader onderzoek)</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ja</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Afwijzen (na nader onderzoek)</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nee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Afwijzen (na nader onderzoek)</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Beoordeel niet op de exacte uitkomst maar op: heeft de deelnemer alle acht combinaties benoemd, en is de motivatie in de aantekening inhoudelijk (niet "leek me logisch")? Dit is een direct toepassing van volledigheid uit §6.5, vóórdat het begrip formeel wordt geïntroduceerd — een bewuste volgorde: eerst zelf tegen het probleem aanlopen, dan het begrip erbij krijgen in het volgende blok.</w:t>
      </w:r>
    </w:p>
    <w:p>
      <w:pPr>
        <w:spacing w:after="160" w:line="300"/>
        <w:jc w:val="left"/>
      </w:pPr>
      <w:r>
        <w:rPr>
          <w:rFonts w:ascii="Calibri" w:cs="Calibri" w:eastAsia="Calibri" w:hAnsi="Calibri"/>
          <w:b/>
          <w:bCs/>
          <w:i w:val="false"/>
          <w:iCs w:val="false"/>
          <w:color w:val="1A1A1A"/>
          <w:sz w:val="21"/>
          <w:szCs w:val="21"/>
        </w:rPr>
        <w:t xml:space="preserve">Overlapcontrole.</w:t>
      </w:r>
      <w:r>
        <w:rPr>
          <w:rFonts w:ascii="Calibri" w:cs="Calibri" w:eastAsia="Calibri" w:hAnsi="Calibri"/>
          <w:b w:val="false"/>
          <w:bCs w:val="false"/>
          <w:i w:val="false"/>
          <w:iCs w:val="false"/>
          <w:color w:val="1A1A1A"/>
          <w:sz w:val="21"/>
          <w:szCs w:val="21"/>
        </w:rPr>
        <w:t xml:space="preserve"> Bij correcte invulling met Unique-hit policy zou er geen overlap moeten zijn — elke combinatie van drie booleaanse waarden komt in precies één rij voor. Als een deelnemer overlap vindt, is er een duplicaat of een inconsistente eerdere rij; laat dat als leermoment staan voordat je zelf corrigeert.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Kies de hit policy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Hit policy</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Waarom niet de andere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Unique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Any zou overlap toestaan die hier ontbreekt en dus onnodig is; Priority/First lossen een probleem op dat hier niet bestaat (geen overlap mogelijk per ontwerp).</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Collect (SUM)</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Any en Unique staan geen meervoudige gelijktijdige uitkomsten toe; Rule order zou de bedragen niet optellen maar los tonen.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Priority</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First is gevoelig voor tabelvolgorde in plaats van een expliciete prioriteit; Collect zou alle uitkomsten samen tonen in plaats van er één te kiezen.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Rule order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Collect met aggregatie is hier niet passend (geen SUM/MIN/MAX/COUNT van toepassing op documenten); Output order zou op de outputwaarde sorteren in plaats van op regelvolgorde, wat hier niet gevraagd wordt.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Any</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Dit ís de definitie van Any: overlap toegestaan mits consistent. Unique zou de overlap juist verbieden, wat het doel van de controle tegenspreekt.</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FEEL lezen en schrijven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`[10000..500000]`</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`&gt;= date("2026-01-01")`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Exclusief beide grenzen: 0 en 18 vallen er niet in; een waarde als 5 of 17 wel.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Elke waarde voldoet — een lege cel betekent "niet van toepassing als beperkende voorwaarde", niet "onbekend". Dit is een veelgemaakte denkfout; besteed hier extra aandacht aan.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`&gt; 50000 or &lt; 21` — let op dat dit twee losse condities zijn die mogelijk op verschillende kolommen slaan; als beide in één cel moeten (ongebruikelijk), is de volledige vorm nodig met een expliciete referentie naar beide variabelen.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Breed gedragen in de praktijk en een goede vuistregel; laat de discussie kort zijn.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met een tegenwerping: bij een tabel met veel of continue inputs (bijvoorbeeld leeftijd als getal) is "aantoonbaar volledig" soms alleen door het gebruik van een default/catch-all regel te bereiken in plaats van elke combinatie letterlijk uit te schrijven.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goede vooruitblik naar deel 15 (decompositie van beslismodellen) — laat de discussie open, dit wordt daar verder uitgewerkt.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Bewust prikkelend. FEEL is ontworpen om leesbaar te zijn, maar "onderhouden zonder ontwikkelaar" hangt sterk af van de complexiteit van de expressies — een eenvoudige range is prima, een geneste boxed expression (deel 15) minder.</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DMN lezen als een BPMN-variant.</w:t>
      </w:r>
      <w:r>
        <w:rPr>
          <w:rFonts w:ascii="Calibri" w:cs="Calibri" w:eastAsia="Calibri" w:hAnsi="Calibri"/>
          <w:b w:val="false"/>
          <w:bCs w:val="false"/>
          <w:i w:val="false"/>
          <w:iCs w:val="false"/>
          <w:color w:val="1A1A1A"/>
          <w:sz w:val="21"/>
          <w:szCs w:val="21"/>
        </w:rPr>
        <w:t xml:space="preserve"> Herhaal expliciet: geen volgorde, geen token.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Onvolledige tabellen</w:t>
      </w:r>
      <w:r>
        <w:rPr>
          <w:rFonts w:ascii="Calibri" w:cs="Calibri" w:eastAsia="Calibri" w:hAnsi="Calibri"/>
          <w:b w:val="false"/>
          <w:bCs w:val="false"/>
          <w:i w:val="false"/>
          <w:iCs w:val="false"/>
          <w:color w:val="1A1A1A"/>
          <w:sz w:val="21"/>
          <w:szCs w:val="21"/>
        </w:rPr>
        <w:t xml:space="preserve"> — vooral bij meer dan twee booleaanse inputs raken deelnemers het overzicht kwijt. Opdracht 3 is hier bewust op gericht.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Hit policy als bijzaak behandelen.</w:t>
      </w:r>
      <w:r>
        <w:rPr>
          <w:rFonts w:ascii="Calibri" w:cs="Calibri" w:eastAsia="Calibri" w:hAnsi="Calibri"/>
          <w:b w:val="false"/>
          <w:bCs w:val="false"/>
          <w:i w:val="false"/>
          <w:iCs w:val="false"/>
          <w:color w:val="1A1A1A"/>
          <w:sz w:val="21"/>
          <w:szCs w:val="21"/>
        </w:rPr>
        <w:t xml:space="preserve"> Benadruk: de hit policy is een ontwerpbeslissing die het gedrag van de hele tabel bepaalt, niet een instelling die je achteraf kunt aanpassen zonder de tabel te herzien.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Lege cel verwarren met "onbekend".</w:t>
      </w:r>
      <w:r>
        <w:rPr>
          <w:rFonts w:ascii="Calibri" w:cs="Calibri" w:eastAsia="Calibri" w:hAnsi="Calibri"/>
          <w:b w:val="false"/>
          <w:bCs w:val="false"/>
          <w:i w:val="false"/>
          <w:iCs w:val="false"/>
          <w:color w:val="1A1A1A"/>
          <w:sz w:val="21"/>
          <w:szCs w:val="21"/>
        </w:rPr>
        <w:t xml:space="preserve"> Zie opdracht 5, vraag 4 — dit is een hardnekkige denkfout.</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Beslissing herkennen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Modelleert oordeelswerk als proces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het onderscheid in eenduidige gevallen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het onderscheid ook bij verhulde tijdsverwijzingen (zoals opdracht 1.3)</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Ontbrekende of foutieve requirements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Correcte DRD met alle vier elementtypen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Correcte DRD, knowledge source functioneel toegepast</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Beslistabel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Onvolledig, ongemotiveerd ingevuld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Volledig, summier gemotiveerd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Volledig, expliciet gemotiveerd, overlap zelf gecontroleerd</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Hit policy</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Kiest willekeurig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Kiest passend in eenduidige gevallen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Beargumenteert waarom niet de andere zes pasten</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DMN-XML referentiemodel voor opdracht 2 beschikbaar voor import.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6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2026-08-17T15:51:39.392Z</dcterms:created>
  <dcterms:modified xsi:type="dcterms:W3CDTF">2026-08-17T15:51:39.393Z</dcterms:modified>
</cp:coreProperties>
</file>

<file path=docProps/custom.xml><?xml version="1.0" encoding="utf-8"?>
<Properties xmlns="http://schemas.openxmlformats.org/officeDocument/2006/custom-properties" xmlns:vt="http://schemas.openxmlformats.org/officeDocument/2006/docPropsVTypes"/>
</file>